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2ABE3" w14:textId="320AB587" w:rsidR="00CC01E4" w:rsidRDefault="00CC01E4" w:rsidP="00CC01E4">
      <w:pPr>
        <w:pBdr>
          <w:bottom w:val="single" w:sz="12" w:space="1" w:color="auto"/>
        </w:pBdr>
        <w:spacing w:before="120" w:after="0" w:line="260" w:lineRule="atLeast"/>
        <w:rPr>
          <w:rFonts w:ascii="Arial" w:hAnsi="Arial" w:cs="Arial"/>
          <w:b/>
          <w:sz w:val="21"/>
          <w:szCs w:val="21"/>
        </w:rPr>
      </w:pPr>
      <w:r w:rsidRPr="007F2EA9">
        <w:rPr>
          <w:rFonts w:ascii="Arial" w:hAnsi="Arial" w:cs="Arial"/>
          <w:b/>
          <w:sz w:val="21"/>
          <w:szCs w:val="21"/>
        </w:rPr>
        <w:t xml:space="preserve">Annex 6: Probetext für LOS </w:t>
      </w:r>
      <w:r w:rsidR="008D1D66">
        <w:rPr>
          <w:rFonts w:ascii="Arial" w:hAnsi="Arial" w:cs="Arial"/>
          <w:b/>
          <w:sz w:val="21"/>
          <w:szCs w:val="21"/>
        </w:rPr>
        <w:t>2</w:t>
      </w:r>
      <w:r w:rsidRPr="007F2EA9">
        <w:rPr>
          <w:rFonts w:ascii="Arial" w:hAnsi="Arial" w:cs="Arial"/>
          <w:b/>
          <w:sz w:val="21"/>
          <w:szCs w:val="21"/>
        </w:rPr>
        <w:t xml:space="preserve">: </w:t>
      </w:r>
      <w:r w:rsidR="008D1D66">
        <w:rPr>
          <w:rFonts w:ascii="Arial" w:hAnsi="Arial" w:cs="Arial"/>
          <w:b/>
          <w:sz w:val="21"/>
          <w:szCs w:val="21"/>
        </w:rPr>
        <w:t>Deutsch-Englisch</w:t>
      </w:r>
      <w:bookmarkStart w:id="0" w:name="_GoBack"/>
      <w:bookmarkEnd w:id="0"/>
    </w:p>
    <w:p w14:paraId="03A8F01F" w14:textId="77777777" w:rsidR="00CC01E4" w:rsidRPr="007F2EA9" w:rsidRDefault="00CC01E4" w:rsidP="00CC01E4">
      <w:pPr>
        <w:pBdr>
          <w:bottom w:val="single" w:sz="12" w:space="1" w:color="auto"/>
        </w:pBdr>
        <w:spacing w:before="120" w:after="0" w:line="260" w:lineRule="atLeast"/>
        <w:rPr>
          <w:rFonts w:ascii="Arial" w:hAnsi="Arial" w:cs="Arial"/>
          <w:b/>
          <w:sz w:val="21"/>
          <w:szCs w:val="21"/>
        </w:rPr>
      </w:pPr>
    </w:p>
    <w:p w14:paraId="2B4F385C" w14:textId="77777777" w:rsidR="00CC01E4" w:rsidRDefault="00CC01E4" w:rsidP="00CC01E4">
      <w:pPr>
        <w:spacing w:after="360" w:line="360" w:lineRule="auto"/>
        <w:contextualSpacing/>
        <w:rPr>
          <w:b/>
        </w:rPr>
      </w:pPr>
    </w:p>
    <w:p w14:paraId="5EBC067C" w14:textId="1931FA71" w:rsidR="00B237C5" w:rsidRPr="00CC01E4" w:rsidRDefault="008F1C31" w:rsidP="00CC01E4">
      <w:pPr>
        <w:spacing w:before="120" w:after="0" w:line="260" w:lineRule="atLeast"/>
        <w:rPr>
          <w:rFonts w:ascii="Arial" w:hAnsi="Arial" w:cs="Arial"/>
          <w:b/>
          <w:sz w:val="21"/>
          <w:szCs w:val="21"/>
        </w:rPr>
      </w:pPr>
      <w:r w:rsidRPr="00CC01E4">
        <w:rPr>
          <w:rFonts w:ascii="Arial" w:hAnsi="Arial" w:cs="Arial"/>
          <w:b/>
          <w:sz w:val="21"/>
          <w:szCs w:val="21"/>
        </w:rPr>
        <w:t>Evidenznutzun</w:t>
      </w:r>
      <w:r w:rsidR="00BE4421" w:rsidRPr="00CC01E4">
        <w:rPr>
          <w:rFonts w:ascii="Arial" w:hAnsi="Arial" w:cs="Arial"/>
          <w:b/>
          <w:sz w:val="21"/>
          <w:szCs w:val="21"/>
        </w:rPr>
        <w:t>g für Effizienz und Wirksamkeit:</w:t>
      </w:r>
      <w:r w:rsidR="006F4187" w:rsidRPr="00CC01E4">
        <w:rPr>
          <w:rFonts w:ascii="Arial" w:hAnsi="Arial" w:cs="Arial"/>
          <w:b/>
          <w:sz w:val="21"/>
          <w:szCs w:val="21"/>
        </w:rPr>
        <w:t xml:space="preserve"> </w:t>
      </w:r>
      <w:r w:rsidRPr="00CC01E4">
        <w:rPr>
          <w:rFonts w:ascii="Arial" w:hAnsi="Arial" w:cs="Arial"/>
          <w:b/>
          <w:sz w:val="21"/>
          <w:szCs w:val="21"/>
        </w:rPr>
        <w:t>Handlungsempfehlungen</w:t>
      </w:r>
      <w:r w:rsidR="00897174" w:rsidRPr="00CC01E4">
        <w:rPr>
          <w:rFonts w:ascii="Arial" w:hAnsi="Arial" w:cs="Arial"/>
          <w:b/>
          <w:sz w:val="21"/>
          <w:szCs w:val="21"/>
        </w:rPr>
        <w:t xml:space="preserve"> </w:t>
      </w:r>
      <w:r w:rsidR="00EC577D" w:rsidRPr="00CC01E4">
        <w:rPr>
          <w:rFonts w:ascii="Arial" w:hAnsi="Arial" w:cs="Arial"/>
          <w:b/>
          <w:sz w:val="21"/>
          <w:szCs w:val="21"/>
        </w:rPr>
        <w:t>an das BMZ</w:t>
      </w:r>
    </w:p>
    <w:p w14:paraId="4FFBD419" w14:textId="73E17EDF" w:rsidR="00B237C5" w:rsidRPr="00CC01E4" w:rsidRDefault="00B237C5" w:rsidP="00CC01E4">
      <w:pPr>
        <w:spacing w:before="120" w:after="0" w:line="260" w:lineRule="atLeast"/>
        <w:jc w:val="both"/>
        <w:rPr>
          <w:rFonts w:ascii="Arial" w:hAnsi="Arial" w:cs="Arial"/>
          <w:sz w:val="21"/>
          <w:szCs w:val="21"/>
        </w:rPr>
      </w:pPr>
      <w:r w:rsidRPr="00CC01E4">
        <w:rPr>
          <w:rFonts w:ascii="Arial" w:hAnsi="Arial" w:cs="Arial"/>
          <w:sz w:val="21"/>
          <w:szCs w:val="21"/>
        </w:rPr>
        <w:t>Aus der forschungsbasierten Politikberatungsperspektive des IDOS</w:t>
      </w:r>
      <w:r w:rsidR="006E007A" w:rsidRPr="00CC01E4">
        <w:rPr>
          <w:rFonts w:ascii="Arial" w:hAnsi="Arial" w:cs="Arial"/>
          <w:sz w:val="21"/>
          <w:szCs w:val="21"/>
        </w:rPr>
        <w:t>-</w:t>
      </w:r>
      <w:r w:rsidRPr="00CC01E4">
        <w:rPr>
          <w:rFonts w:ascii="Arial" w:hAnsi="Arial" w:cs="Arial"/>
          <w:sz w:val="21"/>
          <w:szCs w:val="21"/>
        </w:rPr>
        <w:t>Projekts „Wirksamkeit, Wissensmanagement und Lernen“</w:t>
      </w:r>
      <w:r w:rsidR="006E007A" w:rsidRPr="00CC01E4">
        <w:rPr>
          <w:rFonts w:ascii="Arial" w:hAnsi="Arial" w:cs="Arial"/>
          <w:sz w:val="21"/>
          <w:szCs w:val="21"/>
        </w:rPr>
        <w:t xml:space="preserve"> betrachtet</w:t>
      </w:r>
      <w:r w:rsidRPr="00CC01E4">
        <w:rPr>
          <w:rFonts w:ascii="Arial" w:hAnsi="Arial" w:cs="Arial"/>
          <w:sz w:val="21"/>
          <w:szCs w:val="21"/>
        </w:rPr>
        <w:t xml:space="preserve">, sollte die Qualität der Evidenznutzung in der deutschen Entwicklungszusammenarbeit </w:t>
      </w:r>
      <w:r w:rsidR="004737DD" w:rsidRPr="00CC01E4">
        <w:rPr>
          <w:rFonts w:ascii="Arial" w:hAnsi="Arial" w:cs="Arial"/>
          <w:sz w:val="21"/>
          <w:szCs w:val="21"/>
        </w:rPr>
        <w:t xml:space="preserve">(EZ) </w:t>
      </w:r>
      <w:r w:rsidRPr="00CC01E4">
        <w:rPr>
          <w:rFonts w:ascii="Arial" w:hAnsi="Arial" w:cs="Arial"/>
          <w:sz w:val="21"/>
          <w:szCs w:val="21"/>
        </w:rPr>
        <w:t xml:space="preserve">weiter verbessert werden. </w:t>
      </w:r>
      <w:r w:rsidRPr="00CC01E4">
        <w:rPr>
          <w:rFonts w:ascii="Arial" w:hAnsi="Arial" w:cs="Arial"/>
          <w:b/>
          <w:sz w:val="21"/>
          <w:szCs w:val="21"/>
        </w:rPr>
        <w:t xml:space="preserve">Drei </w:t>
      </w:r>
      <w:r w:rsidR="006E007A" w:rsidRPr="00CC01E4">
        <w:rPr>
          <w:rFonts w:ascii="Arial" w:hAnsi="Arial" w:cs="Arial"/>
          <w:b/>
          <w:sz w:val="21"/>
          <w:szCs w:val="21"/>
        </w:rPr>
        <w:t>Aspekte</w:t>
      </w:r>
      <w:r w:rsidR="00BE4421" w:rsidRPr="00CC01E4">
        <w:rPr>
          <w:rFonts w:ascii="Arial" w:hAnsi="Arial" w:cs="Arial"/>
          <w:sz w:val="21"/>
          <w:szCs w:val="21"/>
        </w:rPr>
        <w:t xml:space="preserve"> </w:t>
      </w:r>
      <w:r w:rsidR="00C528F4" w:rsidRPr="00CC01E4">
        <w:rPr>
          <w:rFonts w:ascii="Arial" w:hAnsi="Arial" w:cs="Arial"/>
          <w:sz w:val="21"/>
          <w:szCs w:val="21"/>
        </w:rPr>
        <w:t>– die (1) Definition von Evidenz, (2) effiziente Transparenz und (3) systemische Lernanreize</w:t>
      </w:r>
      <w:r w:rsidR="00EC577D" w:rsidRPr="00CC01E4">
        <w:rPr>
          <w:rFonts w:ascii="Arial" w:hAnsi="Arial" w:cs="Arial"/>
          <w:sz w:val="21"/>
          <w:szCs w:val="21"/>
        </w:rPr>
        <w:t xml:space="preserve"> – </w:t>
      </w:r>
      <w:r w:rsidRPr="00CC01E4">
        <w:rPr>
          <w:rFonts w:ascii="Arial" w:hAnsi="Arial" w:cs="Arial"/>
          <w:sz w:val="21"/>
          <w:szCs w:val="21"/>
        </w:rPr>
        <w:t>stehen da</w:t>
      </w:r>
      <w:r w:rsidR="002E5B88" w:rsidRPr="00CC01E4">
        <w:rPr>
          <w:rFonts w:ascii="Arial" w:hAnsi="Arial" w:cs="Arial"/>
          <w:sz w:val="21"/>
          <w:szCs w:val="21"/>
        </w:rPr>
        <w:t>bei im Zentrum</w:t>
      </w:r>
      <w:r w:rsidR="006E007A" w:rsidRPr="00CC01E4">
        <w:rPr>
          <w:rFonts w:ascii="Arial" w:hAnsi="Arial" w:cs="Arial"/>
          <w:sz w:val="21"/>
          <w:szCs w:val="21"/>
        </w:rPr>
        <w:t>:</w:t>
      </w:r>
    </w:p>
    <w:p w14:paraId="7218D051" w14:textId="6193D12D" w:rsidR="006F4187" w:rsidRPr="00CC01E4" w:rsidRDefault="006161DA" w:rsidP="00CC01E4">
      <w:pPr>
        <w:pStyle w:val="Listenabsatz"/>
        <w:numPr>
          <w:ilvl w:val="0"/>
          <w:numId w:val="1"/>
        </w:numPr>
        <w:spacing w:before="120" w:after="0" w:line="260" w:lineRule="atLeast"/>
        <w:ind w:left="283" w:hanging="283"/>
        <w:contextualSpacing w:val="0"/>
        <w:jc w:val="both"/>
        <w:rPr>
          <w:rFonts w:ascii="Arial" w:hAnsi="Arial" w:cs="Arial"/>
          <w:b/>
          <w:sz w:val="21"/>
          <w:szCs w:val="21"/>
        </w:rPr>
      </w:pPr>
      <w:r w:rsidRPr="00CC01E4">
        <w:rPr>
          <w:rFonts w:ascii="Arial" w:hAnsi="Arial" w:cs="Arial"/>
          <w:b/>
          <w:sz w:val="21"/>
          <w:szCs w:val="21"/>
        </w:rPr>
        <w:t xml:space="preserve">Evidenz auffächern: </w:t>
      </w:r>
      <w:r w:rsidRPr="00CC01E4">
        <w:rPr>
          <w:rFonts w:ascii="Arial" w:hAnsi="Arial" w:cs="Arial"/>
          <w:sz w:val="21"/>
          <w:szCs w:val="21"/>
        </w:rPr>
        <w:t>Der Evi</w:t>
      </w:r>
      <w:r w:rsidR="00EC577D" w:rsidRPr="00CC01E4">
        <w:rPr>
          <w:rFonts w:ascii="Arial" w:hAnsi="Arial" w:cs="Arial"/>
          <w:sz w:val="21"/>
          <w:szCs w:val="21"/>
        </w:rPr>
        <w:t>denzb</w:t>
      </w:r>
      <w:r w:rsidRPr="00CC01E4">
        <w:rPr>
          <w:rFonts w:ascii="Arial" w:hAnsi="Arial" w:cs="Arial"/>
          <w:sz w:val="21"/>
          <w:szCs w:val="21"/>
        </w:rPr>
        <w:t xml:space="preserve">egriff sollte als breites Spektrum verstanden werden. </w:t>
      </w:r>
      <w:r w:rsidR="00227606" w:rsidRPr="00CC01E4">
        <w:rPr>
          <w:rFonts w:ascii="Arial" w:hAnsi="Arial" w:cs="Arial"/>
          <w:sz w:val="21"/>
          <w:szCs w:val="21"/>
        </w:rPr>
        <w:t>Moduljahres</w:t>
      </w:r>
      <w:r w:rsidRPr="00CC01E4">
        <w:rPr>
          <w:rFonts w:ascii="Arial" w:hAnsi="Arial" w:cs="Arial"/>
          <w:sz w:val="21"/>
          <w:szCs w:val="21"/>
        </w:rPr>
        <w:t xml:space="preserve">berichte, Projektevaluierungen, Monitoring-Daten, Querschnittsauswertungen, Meta-Studien, wissenschaftliche </w:t>
      </w:r>
      <w:r w:rsidR="00227606" w:rsidRPr="00CC01E4">
        <w:rPr>
          <w:rFonts w:ascii="Arial" w:hAnsi="Arial" w:cs="Arial"/>
          <w:sz w:val="21"/>
          <w:szCs w:val="21"/>
        </w:rPr>
        <w:t>Studien</w:t>
      </w:r>
      <w:r w:rsidRPr="00CC01E4">
        <w:rPr>
          <w:rFonts w:ascii="Arial" w:hAnsi="Arial" w:cs="Arial"/>
          <w:sz w:val="21"/>
          <w:szCs w:val="21"/>
        </w:rPr>
        <w:t xml:space="preserve"> und rigorose Wirkungsevaluierungen sind alle</w:t>
      </w:r>
      <w:r w:rsidR="006E007A" w:rsidRPr="00CC01E4">
        <w:rPr>
          <w:rFonts w:ascii="Arial" w:hAnsi="Arial" w:cs="Arial"/>
          <w:sz w:val="21"/>
          <w:szCs w:val="21"/>
        </w:rPr>
        <w:t>samt</w:t>
      </w:r>
      <w:r w:rsidRPr="00CC01E4">
        <w:rPr>
          <w:rFonts w:ascii="Arial" w:hAnsi="Arial" w:cs="Arial"/>
          <w:sz w:val="21"/>
          <w:szCs w:val="21"/>
        </w:rPr>
        <w:t xml:space="preserve"> Teil dieses Spektrums. Eine </w:t>
      </w:r>
      <w:r w:rsidRPr="00CC01E4">
        <w:rPr>
          <w:rFonts w:ascii="Arial" w:hAnsi="Arial" w:cs="Arial"/>
          <w:b/>
          <w:sz w:val="21"/>
          <w:szCs w:val="21"/>
        </w:rPr>
        <w:t>Verengung auf Extreme</w:t>
      </w:r>
      <w:r w:rsidRPr="00CC01E4">
        <w:rPr>
          <w:rFonts w:ascii="Arial" w:hAnsi="Arial" w:cs="Arial"/>
          <w:sz w:val="21"/>
          <w:szCs w:val="21"/>
        </w:rPr>
        <w:t xml:space="preserve"> –</w:t>
      </w:r>
      <w:r w:rsidR="002D6DE0" w:rsidRPr="00CC01E4">
        <w:rPr>
          <w:rFonts w:ascii="Arial" w:hAnsi="Arial" w:cs="Arial"/>
          <w:sz w:val="21"/>
          <w:szCs w:val="21"/>
        </w:rPr>
        <w:t xml:space="preserve"> </w:t>
      </w:r>
      <w:r w:rsidR="00DC5599" w:rsidRPr="00CC01E4">
        <w:rPr>
          <w:rFonts w:ascii="Arial" w:hAnsi="Arial" w:cs="Arial"/>
          <w:sz w:val="21"/>
          <w:szCs w:val="21"/>
        </w:rPr>
        <w:t xml:space="preserve">zum Beispiel ein Beharren auf individueller Erfahrung </w:t>
      </w:r>
      <w:r w:rsidR="00DC5599" w:rsidRPr="00CC01E4">
        <w:rPr>
          <w:rFonts w:ascii="Arial" w:hAnsi="Arial" w:cs="Arial"/>
          <w:i/>
          <w:sz w:val="21"/>
          <w:szCs w:val="21"/>
        </w:rPr>
        <w:t>als Evidenz</w:t>
      </w:r>
      <w:r w:rsidR="00DC5599" w:rsidRPr="00CC01E4">
        <w:rPr>
          <w:rFonts w:ascii="Arial" w:hAnsi="Arial" w:cs="Arial"/>
          <w:sz w:val="21"/>
          <w:szCs w:val="21"/>
        </w:rPr>
        <w:t xml:space="preserve"> („Bauchgefühl“) </w:t>
      </w:r>
      <w:r w:rsidRPr="00CC01E4">
        <w:rPr>
          <w:rFonts w:ascii="Arial" w:hAnsi="Arial" w:cs="Arial"/>
          <w:sz w:val="21"/>
          <w:szCs w:val="21"/>
        </w:rPr>
        <w:t xml:space="preserve">oder </w:t>
      </w:r>
      <w:r w:rsidR="0004394D" w:rsidRPr="00CC01E4">
        <w:rPr>
          <w:rFonts w:ascii="Arial" w:hAnsi="Arial" w:cs="Arial"/>
          <w:sz w:val="21"/>
          <w:szCs w:val="21"/>
        </w:rPr>
        <w:t>ein</w:t>
      </w:r>
      <w:r w:rsidR="00DC5599" w:rsidRPr="00CC01E4">
        <w:rPr>
          <w:rFonts w:ascii="Arial" w:hAnsi="Arial" w:cs="Arial"/>
          <w:sz w:val="21"/>
          <w:szCs w:val="21"/>
        </w:rPr>
        <w:t xml:space="preserve"> </w:t>
      </w:r>
      <w:r w:rsidR="0004394D" w:rsidRPr="00CC01E4">
        <w:rPr>
          <w:rFonts w:ascii="Arial" w:hAnsi="Arial" w:cs="Arial"/>
          <w:sz w:val="21"/>
          <w:szCs w:val="21"/>
        </w:rPr>
        <w:t>exklusiver Fokus</w:t>
      </w:r>
      <w:r w:rsidR="00DC5599" w:rsidRPr="00CC01E4">
        <w:rPr>
          <w:rFonts w:ascii="Arial" w:hAnsi="Arial" w:cs="Arial"/>
          <w:sz w:val="21"/>
          <w:szCs w:val="21"/>
        </w:rPr>
        <w:t xml:space="preserve"> auf experimentelle</w:t>
      </w:r>
      <w:r w:rsidRPr="00CC01E4">
        <w:rPr>
          <w:rFonts w:ascii="Arial" w:hAnsi="Arial" w:cs="Arial"/>
          <w:sz w:val="21"/>
          <w:szCs w:val="21"/>
        </w:rPr>
        <w:t xml:space="preserve"> Methoden („</w:t>
      </w:r>
      <w:proofErr w:type="spellStart"/>
      <w:r w:rsidRPr="00CC01E4">
        <w:rPr>
          <w:rFonts w:ascii="Arial" w:hAnsi="Arial" w:cs="Arial"/>
          <w:sz w:val="21"/>
          <w:szCs w:val="21"/>
        </w:rPr>
        <w:t>Randomistas</w:t>
      </w:r>
      <w:proofErr w:type="spellEnd"/>
      <w:r w:rsidRPr="00CC01E4">
        <w:rPr>
          <w:rFonts w:ascii="Arial" w:hAnsi="Arial" w:cs="Arial"/>
          <w:sz w:val="21"/>
          <w:szCs w:val="21"/>
        </w:rPr>
        <w:t xml:space="preserve">“) </w:t>
      </w:r>
      <w:r w:rsidR="006E007A" w:rsidRPr="00CC01E4">
        <w:rPr>
          <w:rFonts w:ascii="Arial" w:hAnsi="Arial" w:cs="Arial"/>
          <w:sz w:val="21"/>
          <w:szCs w:val="21"/>
        </w:rPr>
        <w:t>–</w:t>
      </w:r>
      <w:r w:rsidRPr="00CC01E4">
        <w:rPr>
          <w:rFonts w:ascii="Arial" w:hAnsi="Arial" w:cs="Arial"/>
          <w:sz w:val="21"/>
          <w:szCs w:val="21"/>
        </w:rPr>
        <w:t xml:space="preserve"> ist</w:t>
      </w:r>
      <w:r w:rsidRPr="00CC01E4">
        <w:rPr>
          <w:rFonts w:ascii="Arial" w:hAnsi="Arial" w:cs="Arial"/>
          <w:b/>
          <w:sz w:val="21"/>
          <w:szCs w:val="21"/>
        </w:rPr>
        <w:t xml:space="preserve"> nicht hilfreich</w:t>
      </w:r>
      <w:r w:rsidR="00897174" w:rsidRPr="00CC01E4">
        <w:rPr>
          <w:rFonts w:ascii="Arial" w:hAnsi="Arial" w:cs="Arial"/>
          <w:sz w:val="21"/>
          <w:szCs w:val="21"/>
        </w:rPr>
        <w:t xml:space="preserve">, </w:t>
      </w:r>
      <w:r w:rsidR="006E007A" w:rsidRPr="00CC01E4">
        <w:rPr>
          <w:rFonts w:ascii="Arial" w:hAnsi="Arial" w:cs="Arial"/>
          <w:sz w:val="21"/>
          <w:szCs w:val="21"/>
        </w:rPr>
        <w:t xml:space="preserve">da </w:t>
      </w:r>
      <w:r w:rsidR="0004394D" w:rsidRPr="00CC01E4">
        <w:rPr>
          <w:rFonts w:ascii="Arial" w:hAnsi="Arial" w:cs="Arial"/>
          <w:sz w:val="21"/>
          <w:szCs w:val="21"/>
        </w:rPr>
        <w:t>somit</w:t>
      </w:r>
      <w:r w:rsidR="006E007A" w:rsidRPr="00CC01E4">
        <w:rPr>
          <w:rFonts w:ascii="Arial" w:hAnsi="Arial" w:cs="Arial"/>
          <w:sz w:val="21"/>
          <w:szCs w:val="21"/>
        </w:rPr>
        <w:t xml:space="preserve"> viele </w:t>
      </w:r>
      <w:r w:rsidR="00897174" w:rsidRPr="00CC01E4">
        <w:rPr>
          <w:rFonts w:ascii="Arial" w:hAnsi="Arial" w:cs="Arial"/>
          <w:sz w:val="21"/>
          <w:szCs w:val="21"/>
        </w:rPr>
        <w:t>Arten</w:t>
      </w:r>
      <w:r w:rsidR="006E007A" w:rsidRPr="00CC01E4">
        <w:rPr>
          <w:rFonts w:ascii="Arial" w:hAnsi="Arial" w:cs="Arial"/>
          <w:sz w:val="21"/>
          <w:szCs w:val="21"/>
        </w:rPr>
        <w:t xml:space="preserve"> von Evidenz aus</w:t>
      </w:r>
      <w:r w:rsidR="0004394D" w:rsidRPr="00CC01E4">
        <w:rPr>
          <w:rFonts w:ascii="Arial" w:hAnsi="Arial" w:cs="Arial"/>
          <w:sz w:val="21"/>
          <w:szCs w:val="21"/>
        </w:rPr>
        <w:t>ge</w:t>
      </w:r>
      <w:r w:rsidR="006E007A" w:rsidRPr="00CC01E4">
        <w:rPr>
          <w:rFonts w:ascii="Arial" w:hAnsi="Arial" w:cs="Arial"/>
          <w:sz w:val="21"/>
          <w:szCs w:val="21"/>
        </w:rPr>
        <w:t>grenzt</w:t>
      </w:r>
      <w:r w:rsidR="0004394D" w:rsidRPr="00CC01E4">
        <w:rPr>
          <w:rFonts w:ascii="Arial" w:hAnsi="Arial" w:cs="Arial"/>
          <w:sz w:val="21"/>
          <w:szCs w:val="21"/>
        </w:rPr>
        <w:t xml:space="preserve"> werden</w:t>
      </w:r>
      <w:r w:rsidR="006E007A" w:rsidRPr="00CC01E4">
        <w:rPr>
          <w:rFonts w:ascii="Arial" w:hAnsi="Arial" w:cs="Arial"/>
          <w:sz w:val="21"/>
          <w:szCs w:val="21"/>
        </w:rPr>
        <w:t xml:space="preserve">. Das Ziel sollte sein, </w:t>
      </w:r>
      <w:r w:rsidR="0004394D" w:rsidRPr="00CC01E4">
        <w:rPr>
          <w:rFonts w:ascii="Arial" w:hAnsi="Arial" w:cs="Arial"/>
          <w:sz w:val="21"/>
          <w:szCs w:val="21"/>
        </w:rPr>
        <w:t xml:space="preserve">vielfältige Arten von </w:t>
      </w:r>
      <w:r w:rsidR="006E007A" w:rsidRPr="00CC01E4">
        <w:rPr>
          <w:rFonts w:ascii="Arial" w:hAnsi="Arial" w:cs="Arial"/>
          <w:sz w:val="21"/>
          <w:szCs w:val="21"/>
        </w:rPr>
        <w:t>Evidenz für Wirksamkeitssteigerungen zu nutzen.</w:t>
      </w:r>
    </w:p>
    <w:p w14:paraId="2B0E0C27" w14:textId="09CD5534" w:rsidR="006F4187" w:rsidRPr="00CC01E4" w:rsidRDefault="006161DA" w:rsidP="00CC01E4">
      <w:pPr>
        <w:pStyle w:val="Listenabsatz"/>
        <w:spacing w:before="120" w:after="0" w:line="260" w:lineRule="atLeast"/>
        <w:ind w:left="283"/>
        <w:contextualSpacing w:val="0"/>
        <w:jc w:val="both"/>
        <w:rPr>
          <w:rFonts w:ascii="Arial" w:hAnsi="Arial" w:cs="Arial"/>
          <w:sz w:val="21"/>
          <w:szCs w:val="21"/>
        </w:rPr>
      </w:pPr>
      <w:r w:rsidRPr="00CC01E4">
        <w:rPr>
          <w:rFonts w:ascii="Arial" w:hAnsi="Arial" w:cs="Arial"/>
          <w:sz w:val="21"/>
          <w:szCs w:val="21"/>
        </w:rPr>
        <w:t xml:space="preserve">Wichtig ist </w:t>
      </w:r>
      <w:r w:rsidR="00BE4421" w:rsidRPr="00CC01E4">
        <w:rPr>
          <w:rFonts w:ascii="Arial" w:hAnsi="Arial" w:cs="Arial"/>
          <w:sz w:val="21"/>
          <w:szCs w:val="21"/>
        </w:rPr>
        <w:t>dabei</w:t>
      </w:r>
      <w:r w:rsidR="006E007A" w:rsidRPr="00CC01E4">
        <w:rPr>
          <w:rFonts w:ascii="Arial" w:hAnsi="Arial" w:cs="Arial"/>
          <w:sz w:val="21"/>
          <w:szCs w:val="21"/>
        </w:rPr>
        <w:t xml:space="preserve"> </w:t>
      </w:r>
      <w:r w:rsidRPr="00CC01E4">
        <w:rPr>
          <w:rFonts w:ascii="Arial" w:hAnsi="Arial" w:cs="Arial"/>
          <w:sz w:val="21"/>
          <w:szCs w:val="21"/>
        </w:rPr>
        <w:t xml:space="preserve">die </w:t>
      </w:r>
      <w:r w:rsidRPr="00CC01E4">
        <w:rPr>
          <w:rFonts w:ascii="Arial" w:hAnsi="Arial" w:cs="Arial"/>
          <w:b/>
          <w:sz w:val="21"/>
          <w:szCs w:val="21"/>
        </w:rPr>
        <w:t>Anerkennung von Qualitätsstufen</w:t>
      </w:r>
      <w:r w:rsidRPr="00CC01E4">
        <w:rPr>
          <w:rFonts w:ascii="Arial" w:hAnsi="Arial" w:cs="Arial"/>
          <w:sz w:val="21"/>
          <w:szCs w:val="21"/>
        </w:rPr>
        <w:t xml:space="preserve"> innerhalb des Evid</w:t>
      </w:r>
      <w:r w:rsidR="00EC577D" w:rsidRPr="00CC01E4">
        <w:rPr>
          <w:rFonts w:ascii="Arial" w:hAnsi="Arial" w:cs="Arial"/>
          <w:sz w:val="21"/>
          <w:szCs w:val="21"/>
        </w:rPr>
        <w:t>enzs</w:t>
      </w:r>
      <w:r w:rsidRPr="00CC01E4">
        <w:rPr>
          <w:rFonts w:ascii="Arial" w:hAnsi="Arial" w:cs="Arial"/>
          <w:sz w:val="21"/>
          <w:szCs w:val="21"/>
        </w:rPr>
        <w:t>pektrums, etwa in Form eine</w:t>
      </w:r>
      <w:r w:rsidR="002D6DE0" w:rsidRPr="00CC01E4">
        <w:rPr>
          <w:rFonts w:ascii="Arial" w:hAnsi="Arial" w:cs="Arial"/>
          <w:sz w:val="21"/>
          <w:szCs w:val="21"/>
        </w:rPr>
        <w:t>r</w:t>
      </w:r>
      <w:r w:rsidRPr="00CC01E4">
        <w:rPr>
          <w:rFonts w:ascii="Arial" w:hAnsi="Arial" w:cs="Arial"/>
          <w:sz w:val="21"/>
          <w:szCs w:val="21"/>
        </w:rPr>
        <w:t xml:space="preserve"> Evidenzpyramide</w:t>
      </w:r>
      <w:r w:rsidR="006E007A" w:rsidRPr="00CC01E4">
        <w:rPr>
          <w:rFonts w:ascii="Arial" w:hAnsi="Arial" w:cs="Arial"/>
          <w:sz w:val="21"/>
          <w:szCs w:val="21"/>
        </w:rPr>
        <w:t>, die auch in anderen Sektoren genutzt wird</w:t>
      </w:r>
      <w:r w:rsidRPr="00CC01E4">
        <w:rPr>
          <w:rFonts w:ascii="Arial" w:hAnsi="Arial" w:cs="Arial"/>
          <w:sz w:val="21"/>
          <w:szCs w:val="21"/>
        </w:rPr>
        <w:t xml:space="preserve">. </w:t>
      </w:r>
      <w:r w:rsidR="002D6DE0" w:rsidRPr="00CC01E4">
        <w:rPr>
          <w:rFonts w:ascii="Arial" w:hAnsi="Arial" w:cs="Arial"/>
          <w:sz w:val="21"/>
          <w:szCs w:val="21"/>
        </w:rPr>
        <w:t xml:space="preserve">Langfristig </w:t>
      </w:r>
      <w:r w:rsidR="006E007A" w:rsidRPr="00CC01E4">
        <w:rPr>
          <w:rFonts w:ascii="Arial" w:hAnsi="Arial" w:cs="Arial"/>
          <w:sz w:val="21"/>
          <w:szCs w:val="21"/>
        </w:rPr>
        <w:t xml:space="preserve">sollte </w:t>
      </w:r>
      <w:r w:rsidR="002D6DE0" w:rsidRPr="00CC01E4">
        <w:rPr>
          <w:rFonts w:ascii="Arial" w:hAnsi="Arial" w:cs="Arial"/>
          <w:sz w:val="21"/>
          <w:szCs w:val="21"/>
        </w:rPr>
        <w:t>es der Anspruch der deutschen</w:t>
      </w:r>
      <w:r w:rsidR="004737DD" w:rsidRPr="00CC01E4">
        <w:rPr>
          <w:rFonts w:ascii="Arial" w:hAnsi="Arial" w:cs="Arial"/>
          <w:sz w:val="21"/>
          <w:szCs w:val="21"/>
        </w:rPr>
        <w:t xml:space="preserve"> EZ</w:t>
      </w:r>
      <w:r w:rsidR="002D6DE0" w:rsidRPr="00CC01E4">
        <w:rPr>
          <w:rFonts w:ascii="Arial" w:hAnsi="Arial" w:cs="Arial"/>
          <w:sz w:val="21"/>
          <w:szCs w:val="21"/>
        </w:rPr>
        <w:t xml:space="preserve"> sein, die </w:t>
      </w:r>
      <w:r w:rsidR="002D6DE0" w:rsidRPr="00CC01E4">
        <w:rPr>
          <w:rFonts w:ascii="Arial" w:hAnsi="Arial" w:cs="Arial"/>
          <w:b/>
          <w:sz w:val="21"/>
          <w:szCs w:val="21"/>
        </w:rPr>
        <w:t>Evidenznutzung in der Breite</w:t>
      </w:r>
      <w:r w:rsidR="00EC577D" w:rsidRPr="00CC01E4">
        <w:rPr>
          <w:rFonts w:ascii="Arial" w:hAnsi="Arial" w:cs="Arial"/>
          <w:sz w:val="21"/>
          <w:szCs w:val="21"/>
        </w:rPr>
        <w:t xml:space="preserve"> (mehr Evidenz </w:t>
      </w:r>
      <w:r w:rsidR="002D6DE0" w:rsidRPr="00CC01E4">
        <w:rPr>
          <w:rFonts w:ascii="Arial" w:hAnsi="Arial" w:cs="Arial"/>
          <w:sz w:val="21"/>
          <w:szCs w:val="21"/>
        </w:rPr>
        <w:t xml:space="preserve">einer Art) </w:t>
      </w:r>
      <w:r w:rsidR="002D6DE0" w:rsidRPr="00CC01E4">
        <w:rPr>
          <w:rFonts w:ascii="Arial" w:hAnsi="Arial" w:cs="Arial"/>
          <w:b/>
          <w:sz w:val="21"/>
          <w:szCs w:val="21"/>
        </w:rPr>
        <w:t xml:space="preserve">und in der </w:t>
      </w:r>
      <w:r w:rsidR="006E007A" w:rsidRPr="00CC01E4">
        <w:rPr>
          <w:rFonts w:ascii="Arial" w:hAnsi="Arial" w:cs="Arial"/>
          <w:b/>
          <w:sz w:val="21"/>
          <w:szCs w:val="21"/>
        </w:rPr>
        <w:t>Qualität</w:t>
      </w:r>
      <w:r w:rsidR="006E007A" w:rsidRPr="00CC01E4">
        <w:rPr>
          <w:rFonts w:ascii="Arial" w:hAnsi="Arial" w:cs="Arial"/>
          <w:sz w:val="21"/>
          <w:szCs w:val="21"/>
        </w:rPr>
        <w:t xml:space="preserve"> </w:t>
      </w:r>
      <w:r w:rsidR="002D6DE0" w:rsidRPr="00CC01E4">
        <w:rPr>
          <w:rFonts w:ascii="Arial" w:hAnsi="Arial" w:cs="Arial"/>
          <w:sz w:val="21"/>
          <w:szCs w:val="21"/>
        </w:rPr>
        <w:t>(z.B. mehr</w:t>
      </w:r>
      <w:r w:rsidR="00BE4421" w:rsidRPr="00CC01E4">
        <w:rPr>
          <w:rFonts w:ascii="Arial" w:hAnsi="Arial" w:cs="Arial"/>
          <w:sz w:val="21"/>
          <w:szCs w:val="21"/>
        </w:rPr>
        <w:t xml:space="preserve"> </w:t>
      </w:r>
      <w:r w:rsidR="0004394D" w:rsidRPr="00CC01E4">
        <w:rPr>
          <w:rFonts w:ascii="Arial" w:hAnsi="Arial" w:cs="Arial"/>
          <w:sz w:val="21"/>
          <w:szCs w:val="21"/>
        </w:rPr>
        <w:t>Beachtung</w:t>
      </w:r>
      <w:r w:rsidR="00BE4421" w:rsidRPr="00CC01E4">
        <w:rPr>
          <w:rFonts w:ascii="Arial" w:hAnsi="Arial" w:cs="Arial"/>
          <w:sz w:val="21"/>
          <w:szCs w:val="21"/>
        </w:rPr>
        <w:t xml:space="preserve"> unabhängiger wissenschaftlicher</w:t>
      </w:r>
      <w:r w:rsidR="002D6DE0" w:rsidRPr="00CC01E4">
        <w:rPr>
          <w:rFonts w:ascii="Arial" w:hAnsi="Arial" w:cs="Arial"/>
          <w:sz w:val="21"/>
          <w:szCs w:val="21"/>
        </w:rPr>
        <w:t xml:space="preserve"> Evidenz)</w:t>
      </w:r>
      <w:r w:rsidRPr="00CC01E4">
        <w:rPr>
          <w:rFonts w:ascii="Arial" w:hAnsi="Arial" w:cs="Arial"/>
          <w:sz w:val="21"/>
          <w:szCs w:val="21"/>
        </w:rPr>
        <w:t xml:space="preserve"> </w:t>
      </w:r>
      <w:r w:rsidR="002D6DE0" w:rsidRPr="00CC01E4">
        <w:rPr>
          <w:rFonts w:ascii="Arial" w:hAnsi="Arial" w:cs="Arial"/>
          <w:sz w:val="21"/>
          <w:szCs w:val="21"/>
        </w:rPr>
        <w:t>zu verbessern. Dafür ist ein gemeinsames Verst</w:t>
      </w:r>
      <w:r w:rsidR="009E160E" w:rsidRPr="00CC01E4">
        <w:rPr>
          <w:rFonts w:ascii="Arial" w:hAnsi="Arial" w:cs="Arial"/>
          <w:sz w:val="21"/>
          <w:szCs w:val="21"/>
        </w:rPr>
        <w:t xml:space="preserve">ändnis der Qualitätsstufen eine </w:t>
      </w:r>
      <w:r w:rsidR="009E160E" w:rsidRPr="00CC01E4">
        <w:rPr>
          <w:rFonts w:ascii="Arial" w:hAnsi="Arial" w:cs="Arial"/>
          <w:b/>
          <w:sz w:val="21"/>
          <w:szCs w:val="21"/>
        </w:rPr>
        <w:t>Voraussetzung</w:t>
      </w:r>
      <w:r w:rsidR="009E160E" w:rsidRPr="00CC01E4">
        <w:rPr>
          <w:rFonts w:ascii="Arial" w:hAnsi="Arial" w:cs="Arial"/>
          <w:sz w:val="21"/>
          <w:szCs w:val="21"/>
        </w:rPr>
        <w:t>.</w:t>
      </w:r>
    </w:p>
    <w:p w14:paraId="63B704EB" w14:textId="56C07E7B" w:rsidR="004737DD" w:rsidRPr="00CC01E4" w:rsidRDefault="00B237C5" w:rsidP="00CC01E4">
      <w:pPr>
        <w:pStyle w:val="Listenabsatz"/>
        <w:numPr>
          <w:ilvl w:val="0"/>
          <w:numId w:val="1"/>
        </w:numPr>
        <w:spacing w:before="120" w:after="0" w:line="260" w:lineRule="atLeast"/>
        <w:ind w:left="283" w:hanging="283"/>
        <w:contextualSpacing w:val="0"/>
        <w:jc w:val="both"/>
        <w:rPr>
          <w:rFonts w:ascii="Arial" w:hAnsi="Arial" w:cs="Arial"/>
          <w:b/>
          <w:sz w:val="21"/>
          <w:szCs w:val="21"/>
        </w:rPr>
      </w:pPr>
      <w:r w:rsidRPr="00CC01E4">
        <w:rPr>
          <w:rFonts w:ascii="Arial" w:hAnsi="Arial" w:cs="Arial"/>
          <w:b/>
          <w:sz w:val="21"/>
          <w:szCs w:val="21"/>
        </w:rPr>
        <w:t>Transparenz</w:t>
      </w:r>
      <w:r w:rsidR="006161DA" w:rsidRPr="00CC01E4">
        <w:rPr>
          <w:rFonts w:ascii="Arial" w:hAnsi="Arial" w:cs="Arial"/>
          <w:b/>
          <w:sz w:val="21"/>
          <w:szCs w:val="21"/>
        </w:rPr>
        <w:t xml:space="preserve"> </w:t>
      </w:r>
      <w:r w:rsidR="0060783A" w:rsidRPr="00CC01E4">
        <w:rPr>
          <w:rFonts w:ascii="Arial" w:hAnsi="Arial" w:cs="Arial"/>
          <w:b/>
          <w:sz w:val="21"/>
          <w:szCs w:val="21"/>
        </w:rPr>
        <w:t xml:space="preserve">effizient </w:t>
      </w:r>
      <w:r w:rsidR="006161DA" w:rsidRPr="00CC01E4">
        <w:rPr>
          <w:rFonts w:ascii="Arial" w:hAnsi="Arial" w:cs="Arial"/>
          <w:b/>
          <w:sz w:val="21"/>
          <w:szCs w:val="21"/>
        </w:rPr>
        <w:t>erhöhen</w:t>
      </w:r>
      <w:r w:rsidRPr="00CC01E4">
        <w:rPr>
          <w:rFonts w:ascii="Arial" w:hAnsi="Arial" w:cs="Arial"/>
          <w:b/>
          <w:sz w:val="21"/>
          <w:szCs w:val="21"/>
        </w:rPr>
        <w:t xml:space="preserve">: </w:t>
      </w:r>
      <w:r w:rsidR="002E5B88" w:rsidRPr="00CC01E4">
        <w:rPr>
          <w:rFonts w:ascii="Arial" w:hAnsi="Arial" w:cs="Arial"/>
          <w:sz w:val="21"/>
          <w:szCs w:val="21"/>
        </w:rPr>
        <w:t xml:space="preserve">Evidenznutzung </w:t>
      </w:r>
      <w:r w:rsidR="002D6DE0" w:rsidRPr="00CC01E4">
        <w:rPr>
          <w:rFonts w:ascii="Arial" w:hAnsi="Arial" w:cs="Arial"/>
          <w:sz w:val="21"/>
          <w:szCs w:val="21"/>
        </w:rPr>
        <w:t>muss</w:t>
      </w:r>
      <w:r w:rsidR="002E5B88" w:rsidRPr="00CC01E4">
        <w:rPr>
          <w:rFonts w:ascii="Arial" w:hAnsi="Arial" w:cs="Arial"/>
          <w:sz w:val="21"/>
          <w:szCs w:val="21"/>
        </w:rPr>
        <w:t xml:space="preserve"> </w:t>
      </w:r>
      <w:r w:rsidR="002E5B88" w:rsidRPr="00CC01E4">
        <w:rPr>
          <w:rFonts w:ascii="Arial" w:hAnsi="Arial" w:cs="Arial"/>
          <w:b/>
          <w:sz w:val="21"/>
          <w:szCs w:val="21"/>
        </w:rPr>
        <w:t xml:space="preserve">nachvollziehbar </w:t>
      </w:r>
      <w:r w:rsidR="009E160E" w:rsidRPr="00CC01E4">
        <w:rPr>
          <w:rFonts w:ascii="Arial" w:hAnsi="Arial" w:cs="Arial"/>
          <w:sz w:val="21"/>
          <w:szCs w:val="21"/>
        </w:rPr>
        <w:t>von den D</w:t>
      </w:r>
      <w:r w:rsidR="006E007A" w:rsidRPr="00CC01E4">
        <w:rPr>
          <w:rFonts w:ascii="Arial" w:hAnsi="Arial" w:cs="Arial"/>
          <w:sz w:val="21"/>
          <w:szCs w:val="21"/>
        </w:rPr>
        <w:t>urchführungsorganisationen</w:t>
      </w:r>
      <w:r w:rsidR="00EC577D" w:rsidRPr="00CC01E4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EC577D" w:rsidRPr="00CC01E4">
        <w:rPr>
          <w:rFonts w:ascii="Arial" w:hAnsi="Arial" w:cs="Arial"/>
          <w:sz w:val="21"/>
          <w:szCs w:val="21"/>
        </w:rPr>
        <w:t>DOen</w:t>
      </w:r>
      <w:proofErr w:type="spellEnd"/>
      <w:r w:rsidR="00EC577D" w:rsidRPr="00CC01E4">
        <w:rPr>
          <w:rFonts w:ascii="Arial" w:hAnsi="Arial" w:cs="Arial"/>
          <w:sz w:val="21"/>
          <w:szCs w:val="21"/>
        </w:rPr>
        <w:t>)</w:t>
      </w:r>
      <w:r w:rsidR="006E007A" w:rsidRPr="00CC01E4">
        <w:rPr>
          <w:rFonts w:ascii="Arial" w:hAnsi="Arial" w:cs="Arial"/>
          <w:sz w:val="21"/>
          <w:szCs w:val="21"/>
        </w:rPr>
        <w:t xml:space="preserve"> </w:t>
      </w:r>
      <w:r w:rsidR="009E160E" w:rsidRPr="00CC01E4">
        <w:rPr>
          <w:rFonts w:ascii="Arial" w:hAnsi="Arial" w:cs="Arial"/>
          <w:sz w:val="21"/>
          <w:szCs w:val="21"/>
        </w:rPr>
        <w:t>dokumentiert</w:t>
      </w:r>
      <w:r w:rsidR="00BE4421" w:rsidRPr="00CC01E4">
        <w:rPr>
          <w:rFonts w:ascii="Arial" w:hAnsi="Arial" w:cs="Arial"/>
          <w:sz w:val="21"/>
          <w:szCs w:val="21"/>
        </w:rPr>
        <w:t xml:space="preserve"> werden</w:t>
      </w:r>
      <w:r w:rsidR="002E5B88" w:rsidRPr="00CC01E4">
        <w:rPr>
          <w:rFonts w:ascii="Arial" w:hAnsi="Arial" w:cs="Arial"/>
          <w:sz w:val="21"/>
          <w:szCs w:val="21"/>
        </w:rPr>
        <w:t xml:space="preserve">, </w:t>
      </w:r>
      <w:r w:rsidR="009E160E" w:rsidRPr="00CC01E4">
        <w:rPr>
          <w:rFonts w:ascii="Arial" w:hAnsi="Arial" w:cs="Arial"/>
          <w:sz w:val="21"/>
          <w:szCs w:val="21"/>
        </w:rPr>
        <w:t xml:space="preserve">damit das BMZ und Dritte </w:t>
      </w:r>
      <w:r w:rsidR="0060783A" w:rsidRPr="00CC01E4">
        <w:rPr>
          <w:rFonts w:ascii="Arial" w:hAnsi="Arial" w:cs="Arial"/>
          <w:sz w:val="21"/>
          <w:szCs w:val="21"/>
        </w:rPr>
        <w:t xml:space="preserve">bei Bedarf </w:t>
      </w:r>
      <w:r w:rsidR="009E160E" w:rsidRPr="00CC01E4">
        <w:rPr>
          <w:rFonts w:ascii="Arial" w:hAnsi="Arial" w:cs="Arial"/>
          <w:sz w:val="21"/>
          <w:szCs w:val="21"/>
        </w:rPr>
        <w:t>erkennen können, welche Art</w:t>
      </w:r>
      <w:r w:rsidR="000B57E6" w:rsidRPr="00CC01E4">
        <w:rPr>
          <w:rFonts w:ascii="Arial" w:hAnsi="Arial" w:cs="Arial"/>
          <w:sz w:val="21"/>
          <w:szCs w:val="21"/>
        </w:rPr>
        <w:t>en</w:t>
      </w:r>
      <w:r w:rsidR="009E160E" w:rsidRPr="00CC01E4">
        <w:rPr>
          <w:rFonts w:ascii="Arial" w:hAnsi="Arial" w:cs="Arial"/>
          <w:sz w:val="21"/>
          <w:szCs w:val="21"/>
        </w:rPr>
        <w:t xml:space="preserve"> </w:t>
      </w:r>
      <w:r w:rsidR="000B57E6" w:rsidRPr="00CC01E4">
        <w:rPr>
          <w:rFonts w:ascii="Arial" w:hAnsi="Arial" w:cs="Arial"/>
          <w:sz w:val="21"/>
          <w:szCs w:val="21"/>
        </w:rPr>
        <w:t xml:space="preserve">von </w:t>
      </w:r>
      <w:r w:rsidR="009E160E" w:rsidRPr="00CC01E4">
        <w:rPr>
          <w:rFonts w:ascii="Arial" w:hAnsi="Arial" w:cs="Arial"/>
          <w:sz w:val="21"/>
          <w:szCs w:val="21"/>
        </w:rPr>
        <w:t>Evidenz bei der Konzipierung einzelner Vorhaben berücksichtigt wurde</w:t>
      </w:r>
      <w:r w:rsidR="000B57E6" w:rsidRPr="00CC01E4">
        <w:rPr>
          <w:rFonts w:ascii="Arial" w:hAnsi="Arial" w:cs="Arial"/>
          <w:sz w:val="21"/>
          <w:szCs w:val="21"/>
        </w:rPr>
        <w:t>n</w:t>
      </w:r>
      <w:r w:rsidR="009E160E" w:rsidRPr="00CC01E4">
        <w:rPr>
          <w:rFonts w:ascii="Arial" w:hAnsi="Arial" w:cs="Arial"/>
          <w:sz w:val="21"/>
          <w:szCs w:val="21"/>
        </w:rPr>
        <w:t xml:space="preserve">. </w:t>
      </w:r>
      <w:r w:rsidR="000B57E6" w:rsidRPr="00CC01E4">
        <w:rPr>
          <w:rFonts w:ascii="Arial" w:hAnsi="Arial" w:cs="Arial"/>
          <w:sz w:val="21"/>
          <w:szCs w:val="21"/>
        </w:rPr>
        <w:t xml:space="preserve">Das </w:t>
      </w:r>
      <w:r w:rsidR="009E160E" w:rsidRPr="00CC01E4">
        <w:rPr>
          <w:rFonts w:ascii="Arial" w:hAnsi="Arial" w:cs="Arial"/>
          <w:sz w:val="21"/>
          <w:szCs w:val="21"/>
        </w:rPr>
        <w:t>gilt insbesondere in Bezug auf die Wirkungslogik (</w:t>
      </w:r>
      <w:r w:rsidR="000B57E6" w:rsidRPr="00CC01E4">
        <w:rPr>
          <w:rFonts w:ascii="Arial" w:hAnsi="Arial" w:cs="Arial"/>
          <w:sz w:val="21"/>
          <w:szCs w:val="21"/>
        </w:rPr>
        <w:t>„</w:t>
      </w:r>
      <w:proofErr w:type="spellStart"/>
      <w:r w:rsidR="009E160E" w:rsidRPr="00CC01E4">
        <w:rPr>
          <w:rFonts w:ascii="Arial" w:hAnsi="Arial" w:cs="Arial"/>
          <w:sz w:val="21"/>
          <w:szCs w:val="21"/>
        </w:rPr>
        <w:t>Theory</w:t>
      </w:r>
      <w:proofErr w:type="spellEnd"/>
      <w:r w:rsidR="009E160E" w:rsidRPr="00CC01E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E160E" w:rsidRPr="00CC01E4">
        <w:rPr>
          <w:rFonts w:ascii="Arial" w:hAnsi="Arial" w:cs="Arial"/>
          <w:sz w:val="21"/>
          <w:szCs w:val="21"/>
        </w:rPr>
        <w:t>of</w:t>
      </w:r>
      <w:proofErr w:type="spellEnd"/>
      <w:r w:rsidR="009E160E" w:rsidRPr="00CC01E4">
        <w:rPr>
          <w:rFonts w:ascii="Arial" w:hAnsi="Arial" w:cs="Arial"/>
          <w:sz w:val="21"/>
          <w:szCs w:val="21"/>
        </w:rPr>
        <w:t xml:space="preserve"> Change</w:t>
      </w:r>
      <w:r w:rsidR="000B57E6" w:rsidRPr="00CC01E4">
        <w:rPr>
          <w:rFonts w:ascii="Arial" w:hAnsi="Arial" w:cs="Arial"/>
          <w:sz w:val="21"/>
          <w:szCs w:val="21"/>
        </w:rPr>
        <w:t>“</w:t>
      </w:r>
      <w:r w:rsidR="009E160E" w:rsidRPr="00CC01E4">
        <w:rPr>
          <w:rFonts w:ascii="Arial" w:hAnsi="Arial" w:cs="Arial"/>
          <w:sz w:val="21"/>
          <w:szCs w:val="21"/>
        </w:rPr>
        <w:t xml:space="preserve">) und den </w:t>
      </w:r>
      <w:r w:rsidR="009E160E" w:rsidRPr="00CC01E4">
        <w:rPr>
          <w:rFonts w:ascii="Arial" w:hAnsi="Arial" w:cs="Arial"/>
          <w:b/>
          <w:sz w:val="21"/>
          <w:szCs w:val="21"/>
        </w:rPr>
        <w:t>aktuellen Wissensstand</w:t>
      </w:r>
      <w:r w:rsidR="009E160E" w:rsidRPr="00CC01E4">
        <w:rPr>
          <w:rFonts w:ascii="Arial" w:hAnsi="Arial" w:cs="Arial"/>
          <w:sz w:val="21"/>
          <w:szCs w:val="21"/>
        </w:rPr>
        <w:t xml:space="preserve"> </w:t>
      </w:r>
      <w:r w:rsidR="00BE4421" w:rsidRPr="00CC01E4">
        <w:rPr>
          <w:rFonts w:ascii="Arial" w:hAnsi="Arial" w:cs="Arial"/>
          <w:sz w:val="21"/>
          <w:szCs w:val="21"/>
        </w:rPr>
        <w:t>zu</w:t>
      </w:r>
      <w:r w:rsidR="009E160E" w:rsidRPr="00CC01E4">
        <w:rPr>
          <w:rFonts w:ascii="Arial" w:hAnsi="Arial" w:cs="Arial"/>
          <w:sz w:val="21"/>
          <w:szCs w:val="21"/>
        </w:rPr>
        <w:t xml:space="preserve"> den jeweiligen Fach- und Länderkontexten.</w:t>
      </w:r>
      <w:r w:rsidR="000B57E6" w:rsidRPr="00CC01E4">
        <w:rPr>
          <w:rFonts w:ascii="Arial" w:hAnsi="Arial" w:cs="Arial"/>
          <w:sz w:val="21"/>
          <w:szCs w:val="21"/>
        </w:rPr>
        <w:t xml:space="preserve"> </w:t>
      </w:r>
    </w:p>
    <w:p w14:paraId="0B649023" w14:textId="254A6B82" w:rsidR="006F4187" w:rsidRPr="00CC01E4" w:rsidRDefault="000B57E6" w:rsidP="00CC01E4">
      <w:pPr>
        <w:pStyle w:val="Listenabsatz"/>
        <w:spacing w:before="120" w:after="0" w:line="260" w:lineRule="atLeast"/>
        <w:ind w:left="283"/>
        <w:contextualSpacing w:val="0"/>
        <w:jc w:val="both"/>
        <w:rPr>
          <w:rFonts w:ascii="Arial" w:hAnsi="Arial" w:cs="Arial"/>
          <w:b/>
          <w:sz w:val="21"/>
          <w:szCs w:val="21"/>
        </w:rPr>
      </w:pPr>
      <w:r w:rsidRPr="00CC01E4">
        <w:rPr>
          <w:rFonts w:ascii="Arial" w:hAnsi="Arial" w:cs="Arial"/>
          <w:sz w:val="21"/>
          <w:szCs w:val="21"/>
        </w:rPr>
        <w:t>D</w:t>
      </w:r>
      <w:r w:rsidR="00EC577D" w:rsidRPr="00CC01E4">
        <w:rPr>
          <w:rFonts w:ascii="Arial" w:hAnsi="Arial" w:cs="Arial"/>
          <w:sz w:val="21"/>
          <w:szCs w:val="21"/>
        </w:rPr>
        <w:t xml:space="preserve">as Ziel </w:t>
      </w:r>
      <w:r w:rsidRPr="00CC01E4">
        <w:rPr>
          <w:rFonts w:ascii="Arial" w:hAnsi="Arial" w:cs="Arial"/>
          <w:sz w:val="21"/>
          <w:szCs w:val="21"/>
        </w:rPr>
        <w:t>ist, Evidenznutzung explizit zu machen</w:t>
      </w:r>
      <w:r w:rsidR="0060783A" w:rsidRPr="00CC01E4">
        <w:rPr>
          <w:rFonts w:ascii="Arial" w:hAnsi="Arial" w:cs="Arial"/>
          <w:b/>
          <w:sz w:val="21"/>
          <w:szCs w:val="21"/>
        </w:rPr>
        <w:t xml:space="preserve"> </w:t>
      </w:r>
      <w:r w:rsidR="0060783A" w:rsidRPr="00CC01E4">
        <w:rPr>
          <w:rFonts w:ascii="Arial" w:hAnsi="Arial" w:cs="Arial"/>
          <w:sz w:val="21"/>
          <w:szCs w:val="21"/>
        </w:rPr>
        <w:t>und da</w:t>
      </w:r>
      <w:r w:rsidR="00E14F17" w:rsidRPr="00CC01E4">
        <w:rPr>
          <w:rFonts w:ascii="Arial" w:hAnsi="Arial" w:cs="Arial"/>
          <w:sz w:val="21"/>
          <w:szCs w:val="21"/>
        </w:rPr>
        <w:t>durch</w:t>
      </w:r>
      <w:r w:rsidR="0060783A" w:rsidRPr="00CC01E4">
        <w:rPr>
          <w:rFonts w:ascii="Arial" w:hAnsi="Arial" w:cs="Arial"/>
          <w:sz w:val="21"/>
          <w:szCs w:val="21"/>
        </w:rPr>
        <w:t xml:space="preserve"> eine</w:t>
      </w:r>
      <w:r w:rsidR="0060783A" w:rsidRPr="00CC01E4">
        <w:rPr>
          <w:rFonts w:ascii="Arial" w:hAnsi="Arial" w:cs="Arial"/>
          <w:b/>
          <w:sz w:val="21"/>
          <w:szCs w:val="21"/>
        </w:rPr>
        <w:t xml:space="preserve"> lernorientierte Praxis </w:t>
      </w:r>
      <w:r w:rsidR="0060783A" w:rsidRPr="00CC01E4">
        <w:rPr>
          <w:rFonts w:ascii="Arial" w:hAnsi="Arial" w:cs="Arial"/>
          <w:sz w:val="21"/>
          <w:szCs w:val="21"/>
        </w:rPr>
        <w:t>verfahrenstechnisch</w:t>
      </w:r>
      <w:r w:rsidR="0060783A" w:rsidRPr="00CC01E4">
        <w:rPr>
          <w:rFonts w:ascii="Arial" w:hAnsi="Arial" w:cs="Arial"/>
          <w:b/>
          <w:sz w:val="21"/>
          <w:szCs w:val="21"/>
        </w:rPr>
        <w:t xml:space="preserve"> </w:t>
      </w:r>
      <w:r w:rsidR="00E14F17" w:rsidRPr="00CC01E4">
        <w:rPr>
          <w:rFonts w:ascii="Arial" w:hAnsi="Arial" w:cs="Arial"/>
          <w:sz w:val="21"/>
          <w:szCs w:val="21"/>
        </w:rPr>
        <w:t xml:space="preserve">effizient </w:t>
      </w:r>
      <w:r w:rsidR="0060783A" w:rsidRPr="00CC01E4">
        <w:rPr>
          <w:rFonts w:ascii="Arial" w:hAnsi="Arial" w:cs="Arial"/>
          <w:sz w:val="21"/>
          <w:szCs w:val="21"/>
        </w:rPr>
        <w:t xml:space="preserve">zu </w:t>
      </w:r>
      <w:r w:rsidR="00E14F17" w:rsidRPr="00CC01E4">
        <w:rPr>
          <w:rFonts w:ascii="Arial" w:hAnsi="Arial" w:cs="Arial"/>
          <w:sz w:val="21"/>
          <w:szCs w:val="21"/>
        </w:rPr>
        <w:t>ermöglichen</w:t>
      </w:r>
      <w:r w:rsidRPr="00CC01E4">
        <w:rPr>
          <w:rFonts w:ascii="Arial" w:hAnsi="Arial" w:cs="Arial"/>
          <w:sz w:val="21"/>
          <w:szCs w:val="21"/>
        </w:rPr>
        <w:t>.</w:t>
      </w:r>
      <w:r w:rsidR="009E160E" w:rsidRPr="00CC01E4">
        <w:rPr>
          <w:rFonts w:ascii="Arial" w:hAnsi="Arial" w:cs="Arial"/>
          <w:sz w:val="21"/>
          <w:szCs w:val="21"/>
        </w:rPr>
        <w:t xml:space="preserve"> </w:t>
      </w:r>
      <w:r w:rsidR="009D3AFA" w:rsidRPr="00CC01E4">
        <w:rPr>
          <w:rFonts w:ascii="Arial" w:hAnsi="Arial" w:cs="Arial"/>
          <w:sz w:val="21"/>
          <w:szCs w:val="21"/>
        </w:rPr>
        <w:t xml:space="preserve">Datengrundlagen sollten leicht verständlich sein, damit Entscheidungen ohne Mehraufwand nachvollzogen werden können. </w:t>
      </w:r>
      <w:r w:rsidRPr="00CC01E4">
        <w:rPr>
          <w:rFonts w:ascii="Arial" w:hAnsi="Arial" w:cs="Arial"/>
          <w:sz w:val="21"/>
          <w:szCs w:val="21"/>
        </w:rPr>
        <w:t xml:space="preserve">Dabei ist </w:t>
      </w:r>
      <w:r w:rsidR="00897174" w:rsidRPr="00CC01E4">
        <w:rPr>
          <w:rFonts w:ascii="Arial" w:hAnsi="Arial" w:cs="Arial"/>
          <w:sz w:val="21"/>
          <w:szCs w:val="21"/>
        </w:rPr>
        <w:t>ein</w:t>
      </w:r>
      <w:r w:rsidR="009E160E" w:rsidRPr="00CC01E4">
        <w:rPr>
          <w:rFonts w:ascii="Arial" w:hAnsi="Arial" w:cs="Arial"/>
          <w:sz w:val="21"/>
          <w:szCs w:val="21"/>
        </w:rPr>
        <w:t xml:space="preserve"> </w:t>
      </w:r>
      <w:r w:rsidR="00897174" w:rsidRPr="00CC01E4">
        <w:rPr>
          <w:rFonts w:ascii="Arial" w:hAnsi="Arial" w:cs="Arial"/>
          <w:sz w:val="21"/>
          <w:szCs w:val="21"/>
        </w:rPr>
        <w:t xml:space="preserve">aussagekräftiges </w:t>
      </w:r>
      <w:r w:rsidR="009E160E" w:rsidRPr="00CC01E4">
        <w:rPr>
          <w:rFonts w:ascii="Arial" w:hAnsi="Arial" w:cs="Arial"/>
          <w:b/>
          <w:sz w:val="21"/>
          <w:szCs w:val="21"/>
        </w:rPr>
        <w:t xml:space="preserve">Abbilden </w:t>
      </w:r>
      <w:r w:rsidR="006F4187" w:rsidRPr="00CC01E4">
        <w:rPr>
          <w:rFonts w:ascii="Arial" w:hAnsi="Arial" w:cs="Arial"/>
          <w:b/>
          <w:sz w:val="21"/>
          <w:szCs w:val="21"/>
        </w:rPr>
        <w:t xml:space="preserve">von </w:t>
      </w:r>
      <w:r w:rsidR="009E160E" w:rsidRPr="00CC01E4">
        <w:rPr>
          <w:rFonts w:ascii="Arial" w:hAnsi="Arial" w:cs="Arial"/>
          <w:b/>
          <w:sz w:val="21"/>
          <w:szCs w:val="21"/>
        </w:rPr>
        <w:t>Evidenz</w:t>
      </w:r>
      <w:r w:rsidR="009E160E" w:rsidRPr="00CC01E4">
        <w:rPr>
          <w:rFonts w:ascii="Arial" w:hAnsi="Arial" w:cs="Arial"/>
          <w:sz w:val="21"/>
          <w:szCs w:val="21"/>
        </w:rPr>
        <w:t xml:space="preserve"> in Form von </w:t>
      </w:r>
      <w:r w:rsidR="006F4187" w:rsidRPr="00CC01E4">
        <w:rPr>
          <w:rFonts w:ascii="Arial" w:hAnsi="Arial" w:cs="Arial"/>
          <w:sz w:val="21"/>
          <w:szCs w:val="21"/>
        </w:rPr>
        <w:t xml:space="preserve">internem </w:t>
      </w:r>
      <w:r w:rsidR="009E160E" w:rsidRPr="00CC01E4">
        <w:rPr>
          <w:rFonts w:ascii="Arial" w:hAnsi="Arial" w:cs="Arial"/>
          <w:sz w:val="21"/>
          <w:szCs w:val="21"/>
        </w:rPr>
        <w:t xml:space="preserve">Erfahrungswissen </w:t>
      </w:r>
      <w:r w:rsidR="006F4187" w:rsidRPr="00CC01E4">
        <w:rPr>
          <w:rFonts w:ascii="Arial" w:hAnsi="Arial" w:cs="Arial"/>
          <w:sz w:val="21"/>
          <w:szCs w:val="21"/>
        </w:rPr>
        <w:t xml:space="preserve">der </w:t>
      </w:r>
      <w:proofErr w:type="spellStart"/>
      <w:r w:rsidR="006F4187" w:rsidRPr="00CC01E4">
        <w:rPr>
          <w:rFonts w:ascii="Arial" w:hAnsi="Arial" w:cs="Arial"/>
          <w:sz w:val="21"/>
          <w:szCs w:val="21"/>
        </w:rPr>
        <w:t>D</w:t>
      </w:r>
      <w:r w:rsidR="00EC577D" w:rsidRPr="00CC01E4">
        <w:rPr>
          <w:rFonts w:ascii="Arial" w:hAnsi="Arial" w:cs="Arial"/>
          <w:sz w:val="21"/>
          <w:szCs w:val="21"/>
        </w:rPr>
        <w:t>Oen</w:t>
      </w:r>
      <w:proofErr w:type="spellEnd"/>
      <w:r w:rsidR="006F4187" w:rsidRPr="00CC01E4">
        <w:rPr>
          <w:rFonts w:ascii="Arial" w:hAnsi="Arial" w:cs="Arial"/>
          <w:sz w:val="21"/>
          <w:szCs w:val="21"/>
        </w:rPr>
        <w:t xml:space="preserve"> </w:t>
      </w:r>
      <w:r w:rsidR="009E160E" w:rsidRPr="00CC01E4">
        <w:rPr>
          <w:rFonts w:ascii="Arial" w:hAnsi="Arial" w:cs="Arial"/>
          <w:sz w:val="21"/>
          <w:szCs w:val="21"/>
        </w:rPr>
        <w:t>(</w:t>
      </w:r>
      <w:r w:rsidRPr="00CC01E4">
        <w:rPr>
          <w:rFonts w:ascii="Arial" w:hAnsi="Arial" w:cs="Arial"/>
          <w:sz w:val="21"/>
          <w:szCs w:val="21"/>
        </w:rPr>
        <w:t xml:space="preserve">v.a. </w:t>
      </w:r>
      <w:r w:rsidR="009E160E" w:rsidRPr="00CC01E4">
        <w:rPr>
          <w:rFonts w:ascii="Arial" w:hAnsi="Arial" w:cs="Arial"/>
          <w:sz w:val="21"/>
          <w:szCs w:val="21"/>
        </w:rPr>
        <w:t xml:space="preserve">Projekt- und Evaluierungsberichte von Vorgängerprojekten) </w:t>
      </w:r>
      <w:r w:rsidR="009E160E" w:rsidRPr="00CC01E4">
        <w:rPr>
          <w:rFonts w:ascii="Arial" w:hAnsi="Arial" w:cs="Arial"/>
          <w:b/>
          <w:sz w:val="21"/>
          <w:szCs w:val="21"/>
        </w:rPr>
        <w:t>ausdrücklich erwünscht</w:t>
      </w:r>
      <w:r w:rsidR="009E160E" w:rsidRPr="00CC01E4">
        <w:rPr>
          <w:rFonts w:ascii="Arial" w:hAnsi="Arial" w:cs="Arial"/>
          <w:sz w:val="21"/>
          <w:szCs w:val="21"/>
        </w:rPr>
        <w:t xml:space="preserve">. </w:t>
      </w:r>
    </w:p>
    <w:p w14:paraId="0173F2AD" w14:textId="460C284D" w:rsidR="006F4187" w:rsidRPr="00CC01E4" w:rsidRDefault="008F1C31" w:rsidP="00CC01E4">
      <w:pPr>
        <w:pStyle w:val="Listenabsatz"/>
        <w:numPr>
          <w:ilvl w:val="0"/>
          <w:numId w:val="1"/>
        </w:numPr>
        <w:spacing w:before="120" w:after="0" w:line="260" w:lineRule="atLeast"/>
        <w:ind w:left="283" w:hanging="283"/>
        <w:contextualSpacing w:val="0"/>
        <w:jc w:val="both"/>
        <w:rPr>
          <w:rFonts w:ascii="Arial" w:hAnsi="Arial" w:cs="Arial"/>
          <w:b/>
          <w:sz w:val="21"/>
          <w:szCs w:val="21"/>
        </w:rPr>
      </w:pPr>
      <w:r w:rsidRPr="00CC01E4">
        <w:rPr>
          <w:rFonts w:ascii="Arial" w:hAnsi="Arial" w:cs="Arial"/>
          <w:b/>
          <w:sz w:val="21"/>
          <w:szCs w:val="21"/>
        </w:rPr>
        <w:t>Systemisches Lernen fordern und fördern</w:t>
      </w:r>
      <w:r w:rsidR="00B237C5" w:rsidRPr="00CC01E4">
        <w:rPr>
          <w:rFonts w:ascii="Arial" w:hAnsi="Arial" w:cs="Arial"/>
          <w:b/>
          <w:sz w:val="21"/>
          <w:szCs w:val="21"/>
        </w:rPr>
        <w:t>:</w:t>
      </w:r>
      <w:r w:rsidR="002D6DE0" w:rsidRPr="00CC01E4">
        <w:rPr>
          <w:rFonts w:ascii="Arial" w:hAnsi="Arial" w:cs="Arial"/>
          <w:sz w:val="21"/>
          <w:szCs w:val="21"/>
        </w:rPr>
        <w:t xml:space="preserve"> </w:t>
      </w:r>
      <w:r w:rsidR="009E160E" w:rsidRPr="00CC01E4">
        <w:rPr>
          <w:rFonts w:ascii="Arial" w:hAnsi="Arial" w:cs="Arial"/>
          <w:sz w:val="21"/>
          <w:szCs w:val="21"/>
        </w:rPr>
        <w:t xml:space="preserve">Das BMZ und die </w:t>
      </w:r>
      <w:proofErr w:type="spellStart"/>
      <w:r w:rsidR="00EC577D" w:rsidRPr="00CC01E4">
        <w:rPr>
          <w:rFonts w:ascii="Arial" w:hAnsi="Arial" w:cs="Arial"/>
          <w:sz w:val="21"/>
          <w:szCs w:val="21"/>
        </w:rPr>
        <w:t>DOen</w:t>
      </w:r>
      <w:proofErr w:type="spellEnd"/>
      <w:r w:rsidR="00EC577D" w:rsidRPr="00CC01E4">
        <w:rPr>
          <w:rFonts w:ascii="Arial" w:hAnsi="Arial" w:cs="Arial"/>
          <w:sz w:val="21"/>
          <w:szCs w:val="21"/>
        </w:rPr>
        <w:t xml:space="preserve"> </w:t>
      </w:r>
      <w:r w:rsidR="009E160E" w:rsidRPr="00CC01E4">
        <w:rPr>
          <w:rFonts w:ascii="Arial" w:hAnsi="Arial" w:cs="Arial"/>
          <w:sz w:val="21"/>
          <w:szCs w:val="21"/>
        </w:rPr>
        <w:t xml:space="preserve">arbeiten </w:t>
      </w:r>
      <w:r w:rsidR="00EC577D" w:rsidRPr="00CC01E4">
        <w:rPr>
          <w:rFonts w:ascii="Arial" w:hAnsi="Arial" w:cs="Arial"/>
          <w:b/>
          <w:sz w:val="21"/>
          <w:szCs w:val="21"/>
        </w:rPr>
        <w:t>vertrauensvoll</w:t>
      </w:r>
      <w:r w:rsidR="00EC577D" w:rsidRPr="00CC01E4">
        <w:rPr>
          <w:rFonts w:ascii="Arial" w:hAnsi="Arial" w:cs="Arial"/>
          <w:sz w:val="21"/>
          <w:szCs w:val="21"/>
        </w:rPr>
        <w:t>, aber auch</w:t>
      </w:r>
      <w:r w:rsidR="00EC577D" w:rsidRPr="00CC01E4">
        <w:rPr>
          <w:rFonts w:ascii="Arial" w:hAnsi="Arial" w:cs="Arial"/>
          <w:b/>
          <w:sz w:val="21"/>
          <w:szCs w:val="21"/>
        </w:rPr>
        <w:t xml:space="preserve"> </w:t>
      </w:r>
      <w:r w:rsidR="004737DD" w:rsidRPr="00CC01E4">
        <w:rPr>
          <w:rFonts w:ascii="Arial" w:hAnsi="Arial" w:cs="Arial"/>
          <w:sz w:val="21"/>
          <w:szCs w:val="21"/>
        </w:rPr>
        <w:t>im</w:t>
      </w:r>
      <w:r w:rsidR="004737DD" w:rsidRPr="00CC01E4">
        <w:rPr>
          <w:rFonts w:ascii="Arial" w:hAnsi="Arial" w:cs="Arial"/>
          <w:b/>
          <w:sz w:val="21"/>
          <w:szCs w:val="21"/>
        </w:rPr>
        <w:t xml:space="preserve"> </w:t>
      </w:r>
      <w:r w:rsidR="009E160E" w:rsidRPr="00CC01E4">
        <w:rPr>
          <w:rFonts w:ascii="Arial" w:hAnsi="Arial" w:cs="Arial"/>
          <w:sz w:val="21"/>
          <w:szCs w:val="21"/>
        </w:rPr>
        <w:t xml:space="preserve">Bewusstsein bestehender </w:t>
      </w:r>
      <w:r w:rsidR="009E160E" w:rsidRPr="00CC01E4">
        <w:rPr>
          <w:rFonts w:ascii="Arial" w:hAnsi="Arial" w:cs="Arial"/>
          <w:b/>
          <w:sz w:val="21"/>
          <w:szCs w:val="21"/>
        </w:rPr>
        <w:t>Anreizstrukturen</w:t>
      </w:r>
      <w:r w:rsidR="009E160E" w:rsidRPr="00CC01E4">
        <w:rPr>
          <w:rFonts w:ascii="Arial" w:hAnsi="Arial" w:cs="Arial"/>
          <w:sz w:val="21"/>
          <w:szCs w:val="21"/>
        </w:rPr>
        <w:t xml:space="preserve"> </w:t>
      </w:r>
      <w:r w:rsidR="00A748AA" w:rsidRPr="00CC01E4">
        <w:rPr>
          <w:rFonts w:ascii="Arial" w:hAnsi="Arial" w:cs="Arial"/>
          <w:sz w:val="21"/>
          <w:szCs w:val="21"/>
        </w:rPr>
        <w:t>(</w:t>
      </w:r>
      <w:proofErr w:type="spellStart"/>
      <w:r w:rsidR="00A748AA" w:rsidRPr="00CC01E4">
        <w:rPr>
          <w:rFonts w:ascii="Arial" w:hAnsi="Arial" w:cs="Arial"/>
          <w:sz w:val="21"/>
          <w:szCs w:val="21"/>
        </w:rPr>
        <w:t>Principal</w:t>
      </w:r>
      <w:proofErr w:type="spellEnd"/>
      <w:r w:rsidR="00A748AA" w:rsidRPr="00CC01E4">
        <w:rPr>
          <w:rFonts w:ascii="Arial" w:hAnsi="Arial" w:cs="Arial"/>
          <w:sz w:val="21"/>
          <w:szCs w:val="21"/>
        </w:rPr>
        <w:t>-Agent</w:t>
      </w:r>
      <w:r w:rsidR="000B57E6" w:rsidRPr="00CC01E4">
        <w:rPr>
          <w:rFonts w:ascii="Arial" w:hAnsi="Arial" w:cs="Arial"/>
          <w:sz w:val="21"/>
          <w:szCs w:val="21"/>
        </w:rPr>
        <w:t>-</w:t>
      </w:r>
      <w:r w:rsidR="004737DD" w:rsidRPr="00CC01E4">
        <w:rPr>
          <w:rFonts w:ascii="Arial" w:hAnsi="Arial" w:cs="Arial"/>
          <w:sz w:val="21"/>
          <w:szCs w:val="21"/>
        </w:rPr>
        <w:t>Beziehung</w:t>
      </w:r>
      <w:r w:rsidR="00A748AA" w:rsidRPr="00CC01E4">
        <w:rPr>
          <w:rFonts w:ascii="Arial" w:hAnsi="Arial" w:cs="Arial"/>
          <w:sz w:val="21"/>
          <w:szCs w:val="21"/>
        </w:rPr>
        <w:t xml:space="preserve">) </w:t>
      </w:r>
      <w:r w:rsidR="009E160E" w:rsidRPr="00CC01E4">
        <w:rPr>
          <w:rFonts w:ascii="Arial" w:hAnsi="Arial" w:cs="Arial"/>
          <w:sz w:val="21"/>
          <w:szCs w:val="21"/>
        </w:rPr>
        <w:t xml:space="preserve">konstruktiv zusammen. </w:t>
      </w:r>
      <w:r w:rsidR="00A748AA" w:rsidRPr="00CC01E4">
        <w:rPr>
          <w:rFonts w:ascii="Arial" w:hAnsi="Arial" w:cs="Arial"/>
          <w:sz w:val="21"/>
          <w:szCs w:val="21"/>
        </w:rPr>
        <w:t>D</w:t>
      </w:r>
      <w:r w:rsidR="000B57E6" w:rsidRPr="00CC01E4">
        <w:rPr>
          <w:rFonts w:ascii="Arial" w:hAnsi="Arial" w:cs="Arial"/>
          <w:sz w:val="21"/>
          <w:szCs w:val="21"/>
        </w:rPr>
        <w:t>em</w:t>
      </w:r>
      <w:r w:rsidR="00A748AA" w:rsidRPr="00CC01E4">
        <w:rPr>
          <w:rFonts w:ascii="Arial" w:hAnsi="Arial" w:cs="Arial"/>
          <w:sz w:val="21"/>
          <w:szCs w:val="21"/>
        </w:rPr>
        <w:t xml:space="preserve"> BMZ </w:t>
      </w:r>
      <w:r w:rsidR="000B57E6" w:rsidRPr="00CC01E4">
        <w:rPr>
          <w:rFonts w:ascii="Arial" w:hAnsi="Arial" w:cs="Arial"/>
          <w:sz w:val="21"/>
          <w:szCs w:val="21"/>
        </w:rPr>
        <w:t xml:space="preserve">obliegt </w:t>
      </w:r>
      <w:r w:rsidR="00A748AA" w:rsidRPr="00CC01E4">
        <w:rPr>
          <w:rFonts w:ascii="Arial" w:hAnsi="Arial" w:cs="Arial"/>
          <w:sz w:val="21"/>
          <w:szCs w:val="21"/>
        </w:rPr>
        <w:t xml:space="preserve">als </w:t>
      </w:r>
      <w:r w:rsidR="00A748AA" w:rsidRPr="00CC01E4">
        <w:rPr>
          <w:rFonts w:ascii="Arial" w:hAnsi="Arial" w:cs="Arial"/>
          <w:b/>
          <w:sz w:val="21"/>
          <w:szCs w:val="21"/>
        </w:rPr>
        <w:t>„Handwerk</w:t>
      </w:r>
      <w:r w:rsidR="006F4187" w:rsidRPr="00CC01E4">
        <w:rPr>
          <w:rFonts w:ascii="Arial" w:hAnsi="Arial" w:cs="Arial"/>
          <w:b/>
          <w:sz w:val="21"/>
          <w:szCs w:val="21"/>
        </w:rPr>
        <w:t>s</w:t>
      </w:r>
      <w:r w:rsidR="00A748AA" w:rsidRPr="00CC01E4">
        <w:rPr>
          <w:rFonts w:ascii="Arial" w:hAnsi="Arial" w:cs="Arial"/>
          <w:b/>
          <w:sz w:val="21"/>
          <w:szCs w:val="21"/>
        </w:rPr>
        <w:t>kammer“</w:t>
      </w:r>
      <w:r w:rsidR="00A748AA" w:rsidRPr="00CC01E4">
        <w:rPr>
          <w:rFonts w:ascii="Arial" w:hAnsi="Arial" w:cs="Arial"/>
          <w:sz w:val="21"/>
          <w:szCs w:val="21"/>
        </w:rPr>
        <w:t xml:space="preserve"> der deutschen </w:t>
      </w:r>
      <w:r w:rsidR="004737DD" w:rsidRPr="00CC01E4">
        <w:rPr>
          <w:rFonts w:ascii="Arial" w:hAnsi="Arial" w:cs="Arial"/>
          <w:sz w:val="21"/>
          <w:szCs w:val="21"/>
        </w:rPr>
        <w:t xml:space="preserve">EZ </w:t>
      </w:r>
      <w:r w:rsidRPr="00CC01E4">
        <w:rPr>
          <w:rFonts w:ascii="Arial" w:hAnsi="Arial" w:cs="Arial"/>
          <w:sz w:val="21"/>
          <w:szCs w:val="21"/>
        </w:rPr>
        <w:t xml:space="preserve">dabei </w:t>
      </w:r>
      <w:r w:rsidR="00A748AA" w:rsidRPr="00CC01E4">
        <w:rPr>
          <w:rFonts w:ascii="Arial" w:hAnsi="Arial" w:cs="Arial"/>
          <w:sz w:val="21"/>
          <w:szCs w:val="21"/>
        </w:rPr>
        <w:t>die Rechts- und Fachaufsicht für nachgeordnete Behörden</w:t>
      </w:r>
      <w:r w:rsidRPr="00CC01E4">
        <w:rPr>
          <w:rFonts w:ascii="Arial" w:hAnsi="Arial" w:cs="Arial"/>
          <w:sz w:val="21"/>
          <w:szCs w:val="21"/>
        </w:rPr>
        <w:t>. E</w:t>
      </w:r>
      <w:r w:rsidR="00A748AA" w:rsidRPr="00CC01E4">
        <w:rPr>
          <w:rFonts w:ascii="Arial" w:hAnsi="Arial" w:cs="Arial"/>
          <w:sz w:val="21"/>
          <w:szCs w:val="21"/>
        </w:rPr>
        <w:t xml:space="preserve">s ist </w:t>
      </w:r>
      <w:r w:rsidR="000B57E6" w:rsidRPr="00CC01E4">
        <w:rPr>
          <w:rFonts w:ascii="Arial" w:hAnsi="Arial" w:cs="Arial"/>
          <w:sz w:val="21"/>
          <w:szCs w:val="21"/>
        </w:rPr>
        <w:t xml:space="preserve">damit </w:t>
      </w:r>
      <w:r w:rsidRPr="00CC01E4">
        <w:rPr>
          <w:rFonts w:ascii="Arial" w:hAnsi="Arial" w:cs="Arial"/>
          <w:sz w:val="21"/>
          <w:szCs w:val="21"/>
        </w:rPr>
        <w:t xml:space="preserve">politisch </w:t>
      </w:r>
      <w:r w:rsidR="00A748AA" w:rsidRPr="00CC01E4">
        <w:rPr>
          <w:rFonts w:ascii="Arial" w:hAnsi="Arial" w:cs="Arial"/>
          <w:sz w:val="21"/>
          <w:szCs w:val="21"/>
        </w:rPr>
        <w:t xml:space="preserve">verantwortlich für die Qualität der </w:t>
      </w:r>
      <w:r w:rsidRPr="00CC01E4">
        <w:rPr>
          <w:rFonts w:ascii="Arial" w:hAnsi="Arial" w:cs="Arial"/>
          <w:sz w:val="21"/>
          <w:szCs w:val="21"/>
        </w:rPr>
        <w:t xml:space="preserve">Arbeit der </w:t>
      </w:r>
      <w:proofErr w:type="spellStart"/>
      <w:r w:rsidR="004737DD" w:rsidRPr="00CC01E4">
        <w:rPr>
          <w:rFonts w:ascii="Arial" w:hAnsi="Arial" w:cs="Arial"/>
          <w:sz w:val="21"/>
          <w:szCs w:val="21"/>
        </w:rPr>
        <w:t>DOen</w:t>
      </w:r>
      <w:proofErr w:type="spellEnd"/>
      <w:r w:rsidR="000B57E6" w:rsidRPr="00CC01E4">
        <w:rPr>
          <w:rFonts w:ascii="Arial" w:hAnsi="Arial" w:cs="Arial"/>
          <w:sz w:val="21"/>
          <w:szCs w:val="21"/>
        </w:rPr>
        <w:t xml:space="preserve"> – </w:t>
      </w:r>
      <w:r w:rsidR="00A748AA" w:rsidRPr="00CC01E4">
        <w:rPr>
          <w:rFonts w:ascii="Arial" w:hAnsi="Arial" w:cs="Arial"/>
          <w:sz w:val="21"/>
          <w:szCs w:val="21"/>
        </w:rPr>
        <w:t>der „Handwerker</w:t>
      </w:r>
      <w:r w:rsidR="000B57E6" w:rsidRPr="00CC01E4">
        <w:rPr>
          <w:rFonts w:ascii="Arial" w:hAnsi="Arial" w:cs="Arial"/>
          <w:sz w:val="21"/>
          <w:szCs w:val="21"/>
        </w:rPr>
        <w:t>*innen</w:t>
      </w:r>
      <w:r w:rsidR="00A748AA" w:rsidRPr="00CC01E4">
        <w:rPr>
          <w:rFonts w:ascii="Arial" w:hAnsi="Arial" w:cs="Arial"/>
          <w:sz w:val="21"/>
          <w:szCs w:val="21"/>
        </w:rPr>
        <w:t xml:space="preserve">“. </w:t>
      </w:r>
    </w:p>
    <w:p w14:paraId="5752B2C6" w14:textId="5AA3EAD2" w:rsidR="009E160E" w:rsidRPr="00CC01E4" w:rsidRDefault="000B57E6" w:rsidP="00CC01E4">
      <w:pPr>
        <w:pStyle w:val="Listenabsatz"/>
        <w:spacing w:before="120" w:after="0" w:line="260" w:lineRule="atLeast"/>
        <w:ind w:left="283"/>
        <w:contextualSpacing w:val="0"/>
        <w:jc w:val="both"/>
        <w:rPr>
          <w:rFonts w:ascii="Arial" w:hAnsi="Arial" w:cs="Arial"/>
          <w:b/>
          <w:sz w:val="21"/>
          <w:szCs w:val="21"/>
        </w:rPr>
      </w:pPr>
      <w:r w:rsidRPr="00CC01E4">
        <w:rPr>
          <w:rFonts w:ascii="Arial" w:hAnsi="Arial" w:cs="Arial"/>
          <w:sz w:val="21"/>
          <w:szCs w:val="21"/>
        </w:rPr>
        <w:t>D</w:t>
      </w:r>
      <w:r w:rsidR="00A748AA" w:rsidRPr="00CC01E4">
        <w:rPr>
          <w:rFonts w:ascii="Arial" w:hAnsi="Arial" w:cs="Arial"/>
          <w:sz w:val="21"/>
          <w:szCs w:val="21"/>
        </w:rPr>
        <w:t xml:space="preserve">as BMZ </w:t>
      </w:r>
      <w:r w:rsidRPr="00CC01E4">
        <w:rPr>
          <w:rFonts w:ascii="Arial" w:hAnsi="Arial" w:cs="Arial"/>
          <w:sz w:val="21"/>
          <w:szCs w:val="21"/>
        </w:rPr>
        <w:t xml:space="preserve">kann </w:t>
      </w:r>
      <w:r w:rsidR="00A748AA" w:rsidRPr="00CC01E4">
        <w:rPr>
          <w:rFonts w:ascii="Arial" w:hAnsi="Arial" w:cs="Arial"/>
          <w:sz w:val="21"/>
          <w:szCs w:val="21"/>
        </w:rPr>
        <w:t xml:space="preserve">die Nichteinhaltung </w:t>
      </w:r>
      <w:r w:rsidRPr="00CC01E4">
        <w:rPr>
          <w:rFonts w:ascii="Arial" w:hAnsi="Arial" w:cs="Arial"/>
          <w:sz w:val="21"/>
          <w:szCs w:val="21"/>
        </w:rPr>
        <w:t xml:space="preserve">seiner </w:t>
      </w:r>
      <w:r w:rsidR="00A748AA" w:rsidRPr="00CC01E4">
        <w:rPr>
          <w:rFonts w:ascii="Arial" w:hAnsi="Arial" w:cs="Arial"/>
          <w:sz w:val="21"/>
          <w:szCs w:val="21"/>
        </w:rPr>
        <w:t>Vorgaben sanktionieren, falls</w:t>
      </w:r>
      <w:r w:rsidR="009E160E" w:rsidRPr="00CC01E4">
        <w:rPr>
          <w:rFonts w:ascii="Arial" w:hAnsi="Arial" w:cs="Arial"/>
          <w:sz w:val="21"/>
          <w:szCs w:val="21"/>
        </w:rPr>
        <w:t xml:space="preserve"> das </w:t>
      </w:r>
      <w:r w:rsidR="009E160E" w:rsidRPr="00CC01E4">
        <w:rPr>
          <w:rFonts w:ascii="Arial" w:hAnsi="Arial" w:cs="Arial"/>
          <w:b/>
          <w:sz w:val="21"/>
          <w:szCs w:val="21"/>
        </w:rPr>
        <w:t>Qualitätsmanage</w:t>
      </w:r>
      <w:r w:rsidR="00CC01E4">
        <w:rPr>
          <w:rFonts w:ascii="Arial" w:hAnsi="Arial" w:cs="Arial"/>
          <w:b/>
          <w:sz w:val="21"/>
          <w:szCs w:val="21"/>
        </w:rPr>
        <w:softHyphen/>
      </w:r>
      <w:r w:rsidR="009E160E" w:rsidRPr="00CC01E4">
        <w:rPr>
          <w:rFonts w:ascii="Arial" w:hAnsi="Arial" w:cs="Arial"/>
          <w:b/>
          <w:sz w:val="21"/>
          <w:szCs w:val="21"/>
        </w:rPr>
        <w:t>ment</w:t>
      </w:r>
      <w:r w:rsidR="009E160E" w:rsidRPr="00CC01E4">
        <w:rPr>
          <w:rFonts w:ascii="Arial" w:hAnsi="Arial" w:cs="Arial"/>
          <w:sz w:val="21"/>
          <w:szCs w:val="21"/>
        </w:rPr>
        <w:t xml:space="preserve"> in den </w:t>
      </w:r>
      <w:proofErr w:type="spellStart"/>
      <w:r w:rsidR="004737DD" w:rsidRPr="00CC01E4">
        <w:rPr>
          <w:rFonts w:ascii="Arial" w:hAnsi="Arial" w:cs="Arial"/>
          <w:sz w:val="21"/>
          <w:szCs w:val="21"/>
        </w:rPr>
        <w:t>DOen</w:t>
      </w:r>
      <w:proofErr w:type="spellEnd"/>
      <w:r w:rsidRPr="00CC01E4">
        <w:rPr>
          <w:rFonts w:ascii="Arial" w:hAnsi="Arial" w:cs="Arial"/>
          <w:sz w:val="21"/>
          <w:szCs w:val="21"/>
        </w:rPr>
        <w:t xml:space="preserve"> Abweichungen </w:t>
      </w:r>
      <w:r w:rsidR="00A748AA" w:rsidRPr="00CC01E4">
        <w:rPr>
          <w:rFonts w:ascii="Arial" w:hAnsi="Arial" w:cs="Arial"/>
          <w:sz w:val="21"/>
          <w:szCs w:val="21"/>
        </w:rPr>
        <w:t xml:space="preserve">in Einzelfällen nicht erkennt. </w:t>
      </w:r>
      <w:r w:rsidRPr="00CC01E4">
        <w:rPr>
          <w:rFonts w:ascii="Arial" w:hAnsi="Arial" w:cs="Arial"/>
          <w:sz w:val="21"/>
          <w:szCs w:val="21"/>
        </w:rPr>
        <w:t xml:space="preserve">Das Ziel muss jedoch sein, dass die „Handwerker*innen“ Evidenz nachvollziehbarer nutzen und </w:t>
      </w:r>
      <w:r w:rsidR="004737DD" w:rsidRPr="00CC01E4">
        <w:rPr>
          <w:rFonts w:ascii="Arial" w:hAnsi="Arial" w:cs="Arial"/>
          <w:sz w:val="21"/>
          <w:szCs w:val="21"/>
        </w:rPr>
        <w:t xml:space="preserve">somit </w:t>
      </w:r>
      <w:r w:rsidRPr="00CC01E4">
        <w:rPr>
          <w:rFonts w:ascii="Arial" w:hAnsi="Arial" w:cs="Arial"/>
          <w:sz w:val="21"/>
          <w:szCs w:val="21"/>
        </w:rPr>
        <w:t xml:space="preserve">das deutsche EZ-System </w:t>
      </w:r>
      <w:r w:rsidR="004737DD" w:rsidRPr="00CC01E4">
        <w:rPr>
          <w:rFonts w:ascii="Arial" w:hAnsi="Arial" w:cs="Arial"/>
          <w:sz w:val="21"/>
          <w:szCs w:val="21"/>
        </w:rPr>
        <w:t>stärker lernen kann</w:t>
      </w:r>
      <w:r w:rsidRPr="00CC01E4">
        <w:rPr>
          <w:rFonts w:ascii="Arial" w:hAnsi="Arial" w:cs="Arial"/>
          <w:sz w:val="21"/>
          <w:szCs w:val="21"/>
        </w:rPr>
        <w:t xml:space="preserve">. </w:t>
      </w:r>
      <w:r w:rsidR="00B15C53" w:rsidRPr="00CC01E4">
        <w:rPr>
          <w:rFonts w:ascii="Arial" w:hAnsi="Arial" w:cs="Arial"/>
          <w:sz w:val="21"/>
          <w:szCs w:val="21"/>
        </w:rPr>
        <w:t xml:space="preserve">Das BMZ soll </w:t>
      </w:r>
      <w:r w:rsidR="00B15C53" w:rsidRPr="00CC01E4">
        <w:rPr>
          <w:rFonts w:ascii="Arial" w:hAnsi="Arial" w:cs="Arial"/>
          <w:b/>
          <w:sz w:val="21"/>
          <w:szCs w:val="21"/>
        </w:rPr>
        <w:t>keine</w:t>
      </w:r>
      <w:r w:rsidRPr="00CC01E4">
        <w:rPr>
          <w:rFonts w:ascii="Arial" w:hAnsi="Arial" w:cs="Arial"/>
          <w:b/>
          <w:sz w:val="21"/>
          <w:szCs w:val="21"/>
        </w:rPr>
        <w:t xml:space="preserve"> kleinteilige Kontrolle</w:t>
      </w:r>
      <w:r w:rsidR="00B15C53" w:rsidRPr="00CC01E4">
        <w:rPr>
          <w:rFonts w:ascii="Arial" w:hAnsi="Arial" w:cs="Arial"/>
          <w:b/>
          <w:sz w:val="21"/>
          <w:szCs w:val="21"/>
        </w:rPr>
        <w:t xml:space="preserve"> ausüben</w:t>
      </w:r>
      <w:r w:rsidRPr="00CC01E4">
        <w:rPr>
          <w:rFonts w:ascii="Arial" w:hAnsi="Arial" w:cs="Arial"/>
          <w:b/>
          <w:sz w:val="21"/>
          <w:szCs w:val="21"/>
        </w:rPr>
        <w:t>, sondern externe Anreize für internes</w:t>
      </w:r>
      <w:r w:rsidR="006F4187" w:rsidRPr="00CC01E4">
        <w:rPr>
          <w:rFonts w:ascii="Arial" w:hAnsi="Arial" w:cs="Arial"/>
          <w:b/>
          <w:sz w:val="21"/>
          <w:szCs w:val="21"/>
        </w:rPr>
        <w:t xml:space="preserve"> (</w:t>
      </w:r>
      <w:proofErr w:type="spellStart"/>
      <w:r w:rsidR="006F4187" w:rsidRPr="00CC01E4">
        <w:rPr>
          <w:rFonts w:ascii="Arial" w:hAnsi="Arial" w:cs="Arial"/>
          <w:b/>
          <w:sz w:val="21"/>
          <w:szCs w:val="21"/>
        </w:rPr>
        <w:t>DOen</w:t>
      </w:r>
      <w:proofErr w:type="spellEnd"/>
      <w:r w:rsidR="006F4187" w:rsidRPr="00CC01E4">
        <w:rPr>
          <w:rFonts w:ascii="Arial" w:hAnsi="Arial" w:cs="Arial"/>
          <w:b/>
          <w:sz w:val="21"/>
          <w:szCs w:val="21"/>
        </w:rPr>
        <w:t>)</w:t>
      </w:r>
      <w:r w:rsidRPr="00CC01E4">
        <w:rPr>
          <w:rFonts w:ascii="Arial" w:hAnsi="Arial" w:cs="Arial"/>
          <w:b/>
          <w:sz w:val="21"/>
          <w:szCs w:val="21"/>
        </w:rPr>
        <w:t xml:space="preserve"> und systemisches Lernen</w:t>
      </w:r>
      <w:r w:rsidR="006F4187" w:rsidRPr="00CC01E4">
        <w:rPr>
          <w:rFonts w:ascii="Arial" w:hAnsi="Arial" w:cs="Arial"/>
          <w:b/>
          <w:sz w:val="21"/>
          <w:szCs w:val="21"/>
        </w:rPr>
        <w:t xml:space="preserve"> (BMZ, DEval, IDOS, weitere)</w:t>
      </w:r>
      <w:r w:rsidR="00B15C53" w:rsidRPr="00CC01E4">
        <w:rPr>
          <w:rFonts w:ascii="Arial" w:hAnsi="Arial" w:cs="Arial"/>
          <w:b/>
          <w:sz w:val="21"/>
          <w:szCs w:val="21"/>
        </w:rPr>
        <w:t xml:space="preserve"> setzen</w:t>
      </w:r>
      <w:r w:rsidRPr="00CC01E4">
        <w:rPr>
          <w:rFonts w:ascii="Arial" w:hAnsi="Arial" w:cs="Arial"/>
          <w:b/>
          <w:sz w:val="21"/>
          <w:szCs w:val="21"/>
        </w:rPr>
        <w:t>.</w:t>
      </w:r>
    </w:p>
    <w:p w14:paraId="23F4CECC" w14:textId="5139F90E" w:rsidR="00A748AA" w:rsidRPr="00CC01E4" w:rsidRDefault="00B237C5" w:rsidP="00CC01E4">
      <w:pPr>
        <w:spacing w:before="120" w:after="0" w:line="260" w:lineRule="atLeast"/>
        <w:ind w:left="283"/>
        <w:jc w:val="both"/>
        <w:rPr>
          <w:rFonts w:ascii="Arial" w:hAnsi="Arial" w:cs="Arial"/>
          <w:sz w:val="21"/>
          <w:szCs w:val="21"/>
        </w:rPr>
      </w:pPr>
      <w:r w:rsidRPr="00CC01E4">
        <w:rPr>
          <w:rFonts w:ascii="Arial" w:hAnsi="Arial" w:cs="Arial"/>
          <w:sz w:val="21"/>
          <w:szCs w:val="21"/>
        </w:rPr>
        <w:lastRenderedPageBreak/>
        <w:t xml:space="preserve">Zur Umsetzung dieser drei Punkte sind eine Vielzahl von Empfehlungen, die unten ausgeführt werden, denkbar. Eine </w:t>
      </w:r>
      <w:r w:rsidRPr="00CC01E4">
        <w:rPr>
          <w:rFonts w:ascii="Arial" w:hAnsi="Arial" w:cs="Arial"/>
          <w:b/>
          <w:sz w:val="21"/>
          <w:szCs w:val="21"/>
        </w:rPr>
        <w:t xml:space="preserve">selektive Umsetzung </w:t>
      </w:r>
      <w:r w:rsidRPr="00CC01E4">
        <w:rPr>
          <w:rFonts w:ascii="Arial" w:hAnsi="Arial" w:cs="Arial"/>
          <w:sz w:val="21"/>
          <w:szCs w:val="21"/>
        </w:rPr>
        <w:t xml:space="preserve">gemäß </w:t>
      </w:r>
      <w:r w:rsidR="00C528F4" w:rsidRPr="00CC01E4">
        <w:rPr>
          <w:rFonts w:ascii="Arial" w:hAnsi="Arial" w:cs="Arial"/>
          <w:sz w:val="21"/>
          <w:szCs w:val="21"/>
        </w:rPr>
        <w:t xml:space="preserve">einer </w:t>
      </w:r>
      <w:r w:rsidRPr="00CC01E4">
        <w:rPr>
          <w:rFonts w:ascii="Arial" w:hAnsi="Arial" w:cs="Arial"/>
          <w:sz w:val="21"/>
          <w:szCs w:val="21"/>
        </w:rPr>
        <w:t>Priorisierung durch das BMZ ist</w:t>
      </w:r>
      <w:r w:rsidRPr="00CC01E4">
        <w:rPr>
          <w:rFonts w:ascii="Arial" w:hAnsi="Arial" w:cs="Arial"/>
          <w:b/>
          <w:sz w:val="21"/>
          <w:szCs w:val="21"/>
        </w:rPr>
        <w:t xml:space="preserve"> </w:t>
      </w:r>
      <w:r w:rsidRPr="00CC01E4">
        <w:rPr>
          <w:rFonts w:ascii="Arial" w:hAnsi="Arial" w:cs="Arial"/>
          <w:sz w:val="21"/>
          <w:szCs w:val="21"/>
        </w:rPr>
        <w:t>möglich</w:t>
      </w:r>
      <w:r w:rsidR="00C528F4" w:rsidRPr="00CC01E4">
        <w:rPr>
          <w:rFonts w:ascii="Arial" w:hAnsi="Arial" w:cs="Arial"/>
          <w:sz w:val="21"/>
          <w:szCs w:val="21"/>
        </w:rPr>
        <w:t xml:space="preserve">. </w:t>
      </w:r>
      <w:r w:rsidR="00B15C53" w:rsidRPr="00CC01E4">
        <w:rPr>
          <w:rFonts w:ascii="Arial" w:hAnsi="Arial" w:cs="Arial"/>
          <w:sz w:val="21"/>
          <w:szCs w:val="21"/>
        </w:rPr>
        <w:t xml:space="preserve">Nächste Schritte </w:t>
      </w:r>
      <w:r w:rsidR="002E5B88" w:rsidRPr="00CC01E4">
        <w:rPr>
          <w:rFonts w:ascii="Arial" w:hAnsi="Arial" w:cs="Arial"/>
          <w:sz w:val="21"/>
          <w:szCs w:val="21"/>
        </w:rPr>
        <w:t>k</w:t>
      </w:r>
      <w:r w:rsidR="00B15C53" w:rsidRPr="00CC01E4">
        <w:rPr>
          <w:rFonts w:ascii="Arial" w:hAnsi="Arial" w:cs="Arial"/>
          <w:sz w:val="21"/>
          <w:szCs w:val="21"/>
        </w:rPr>
        <w:t xml:space="preserve">önnen </w:t>
      </w:r>
      <w:r w:rsidR="002E5B88" w:rsidRPr="00CC01E4">
        <w:rPr>
          <w:rFonts w:ascii="Arial" w:hAnsi="Arial" w:cs="Arial"/>
          <w:sz w:val="21"/>
          <w:szCs w:val="21"/>
        </w:rPr>
        <w:t xml:space="preserve">eine </w:t>
      </w:r>
      <w:r w:rsidR="002E5B88" w:rsidRPr="00CC01E4">
        <w:rPr>
          <w:rFonts w:ascii="Arial" w:hAnsi="Arial" w:cs="Arial"/>
          <w:b/>
          <w:sz w:val="21"/>
          <w:szCs w:val="21"/>
        </w:rPr>
        <w:t>Neuauflage der VI Evidenz</w:t>
      </w:r>
      <w:r w:rsidR="002E5B88" w:rsidRPr="00CC01E4">
        <w:rPr>
          <w:rFonts w:ascii="Arial" w:hAnsi="Arial" w:cs="Arial"/>
          <w:sz w:val="21"/>
          <w:szCs w:val="21"/>
        </w:rPr>
        <w:t xml:space="preserve"> beinhalten</w:t>
      </w:r>
      <w:r w:rsidR="00B15C53" w:rsidRPr="00CC01E4">
        <w:rPr>
          <w:rFonts w:ascii="Arial" w:hAnsi="Arial" w:cs="Arial"/>
          <w:sz w:val="21"/>
          <w:szCs w:val="21"/>
        </w:rPr>
        <w:t xml:space="preserve"> oder</w:t>
      </w:r>
      <w:r w:rsidR="002E5B88" w:rsidRPr="00CC01E4">
        <w:rPr>
          <w:rFonts w:ascii="Arial" w:hAnsi="Arial" w:cs="Arial"/>
          <w:sz w:val="21"/>
          <w:szCs w:val="21"/>
        </w:rPr>
        <w:t xml:space="preserve"> auch </w:t>
      </w:r>
      <w:r w:rsidR="002E5B88" w:rsidRPr="00CC01E4">
        <w:rPr>
          <w:rFonts w:ascii="Arial" w:hAnsi="Arial" w:cs="Arial"/>
          <w:b/>
          <w:sz w:val="21"/>
          <w:szCs w:val="21"/>
        </w:rPr>
        <w:t xml:space="preserve">unabhängig von der VI </w:t>
      </w:r>
      <w:r w:rsidR="00E57B58" w:rsidRPr="00CC01E4">
        <w:rPr>
          <w:rFonts w:ascii="Arial" w:hAnsi="Arial" w:cs="Arial"/>
          <w:b/>
          <w:sz w:val="21"/>
          <w:szCs w:val="21"/>
        </w:rPr>
        <w:t>Evidenz</w:t>
      </w:r>
      <w:r w:rsidR="00E57B58" w:rsidRPr="00CC01E4">
        <w:rPr>
          <w:rFonts w:ascii="Arial" w:hAnsi="Arial" w:cs="Arial"/>
          <w:sz w:val="21"/>
          <w:szCs w:val="21"/>
        </w:rPr>
        <w:t xml:space="preserve"> </w:t>
      </w:r>
      <w:r w:rsidR="002E5B88" w:rsidRPr="00CC01E4">
        <w:rPr>
          <w:rFonts w:ascii="Arial" w:hAnsi="Arial" w:cs="Arial"/>
          <w:b/>
          <w:sz w:val="21"/>
          <w:szCs w:val="21"/>
        </w:rPr>
        <w:t>umgesetzt</w:t>
      </w:r>
      <w:r w:rsidR="002E5B88" w:rsidRPr="00CC01E4">
        <w:rPr>
          <w:rFonts w:ascii="Arial" w:hAnsi="Arial" w:cs="Arial"/>
          <w:sz w:val="21"/>
          <w:szCs w:val="21"/>
        </w:rPr>
        <w:t xml:space="preserve"> werden</w:t>
      </w:r>
      <w:r w:rsidR="00B15C53" w:rsidRPr="00CC01E4">
        <w:rPr>
          <w:rFonts w:ascii="Arial" w:hAnsi="Arial" w:cs="Arial"/>
          <w:sz w:val="21"/>
          <w:szCs w:val="21"/>
        </w:rPr>
        <w:t>, wobei eine VI aus Sicht der Anreizverankerung grundsätzlich empfohlen wird</w:t>
      </w:r>
      <w:r w:rsidRPr="00CC01E4">
        <w:rPr>
          <w:rFonts w:ascii="Arial" w:hAnsi="Arial" w:cs="Arial"/>
          <w:sz w:val="21"/>
          <w:szCs w:val="21"/>
        </w:rPr>
        <w:t>.</w:t>
      </w:r>
    </w:p>
    <w:p w14:paraId="55251777" w14:textId="77777777" w:rsidR="00B237C5" w:rsidRPr="00CC01E4" w:rsidRDefault="00B237C5" w:rsidP="00CC01E4">
      <w:pPr>
        <w:spacing w:before="120" w:after="0" w:line="260" w:lineRule="atLeast"/>
        <w:rPr>
          <w:rFonts w:ascii="Arial" w:hAnsi="Arial" w:cs="Arial"/>
          <w:b/>
          <w:sz w:val="21"/>
          <w:szCs w:val="21"/>
        </w:rPr>
      </w:pPr>
      <w:r w:rsidRPr="00CC01E4">
        <w:rPr>
          <w:rFonts w:ascii="Arial" w:hAnsi="Arial" w:cs="Arial"/>
          <w:b/>
          <w:sz w:val="21"/>
          <w:szCs w:val="21"/>
        </w:rPr>
        <w:t>Empfehlungen</w:t>
      </w:r>
    </w:p>
    <w:p w14:paraId="126B6878" w14:textId="3E6ED995" w:rsidR="00956965" w:rsidRPr="00CC01E4" w:rsidRDefault="003E6958" w:rsidP="00CC01E4">
      <w:pPr>
        <w:pStyle w:val="Listenabsatz"/>
        <w:numPr>
          <w:ilvl w:val="0"/>
          <w:numId w:val="3"/>
        </w:numPr>
        <w:spacing w:before="120" w:after="0" w:line="260" w:lineRule="atLeast"/>
        <w:ind w:left="39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CC01E4">
        <w:rPr>
          <w:rFonts w:ascii="Arial" w:hAnsi="Arial" w:cs="Arial"/>
          <w:b/>
          <w:sz w:val="21"/>
          <w:szCs w:val="21"/>
        </w:rPr>
        <w:t>Evidenz</w:t>
      </w:r>
      <w:r w:rsidR="00C528F4" w:rsidRPr="00CC01E4">
        <w:rPr>
          <w:rFonts w:ascii="Arial" w:hAnsi="Arial" w:cs="Arial"/>
          <w:b/>
          <w:sz w:val="21"/>
          <w:szCs w:val="21"/>
        </w:rPr>
        <w:t>begriff</w:t>
      </w:r>
      <w:r w:rsidRPr="00CC01E4">
        <w:rPr>
          <w:rFonts w:ascii="Arial" w:hAnsi="Arial" w:cs="Arial"/>
          <w:b/>
          <w:sz w:val="21"/>
          <w:szCs w:val="21"/>
        </w:rPr>
        <w:t>:</w:t>
      </w:r>
      <w:r w:rsidRPr="00CC01E4">
        <w:rPr>
          <w:rFonts w:ascii="Arial" w:hAnsi="Arial" w:cs="Arial"/>
          <w:sz w:val="21"/>
          <w:szCs w:val="21"/>
        </w:rPr>
        <w:t xml:space="preserve"> Sowohl die BMZ-Defin</w:t>
      </w:r>
      <w:r w:rsidR="00C528F4" w:rsidRPr="00CC01E4">
        <w:rPr>
          <w:rFonts w:ascii="Arial" w:hAnsi="Arial" w:cs="Arial"/>
          <w:sz w:val="21"/>
          <w:szCs w:val="21"/>
        </w:rPr>
        <w:t>i</w:t>
      </w:r>
      <w:r w:rsidRPr="00CC01E4">
        <w:rPr>
          <w:rFonts w:ascii="Arial" w:hAnsi="Arial" w:cs="Arial"/>
          <w:sz w:val="21"/>
          <w:szCs w:val="21"/>
        </w:rPr>
        <w:t>tion aus den Leitlinien zu Evaluierung („Information, die auf systematisch erhobenen und belegbaren Daten beruht“) als auch die DAC</w:t>
      </w:r>
      <w:r w:rsidR="004737DD" w:rsidRPr="00CC01E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737DD" w:rsidRPr="00CC01E4">
        <w:rPr>
          <w:rFonts w:ascii="Arial" w:hAnsi="Arial" w:cs="Arial"/>
          <w:sz w:val="21"/>
          <w:szCs w:val="21"/>
        </w:rPr>
        <w:t>Evalnet</w:t>
      </w:r>
      <w:proofErr w:type="spellEnd"/>
      <w:r w:rsidR="004737DD" w:rsidRPr="00CC01E4">
        <w:rPr>
          <w:rFonts w:ascii="Arial" w:hAnsi="Arial" w:cs="Arial"/>
          <w:sz w:val="21"/>
          <w:szCs w:val="21"/>
        </w:rPr>
        <w:t>-</w:t>
      </w:r>
      <w:r w:rsidRPr="00CC01E4">
        <w:rPr>
          <w:rFonts w:ascii="Arial" w:hAnsi="Arial" w:cs="Arial"/>
          <w:sz w:val="21"/>
          <w:szCs w:val="21"/>
        </w:rPr>
        <w:t xml:space="preserve">Definition („Fakten oder Informationen, die die Gültigkeit und Wahrheit einer Schlussfolgerung oder Behauptung stützen“) sind gute Ausgangspunkte. </w:t>
      </w:r>
    </w:p>
    <w:p w14:paraId="54734651" w14:textId="4B52D5F7" w:rsidR="00956965" w:rsidRPr="00CC01E4" w:rsidRDefault="003E6958" w:rsidP="00CC01E4">
      <w:pPr>
        <w:pStyle w:val="Listenabsatz"/>
        <w:numPr>
          <w:ilvl w:val="0"/>
          <w:numId w:val="3"/>
        </w:numPr>
        <w:spacing w:before="120" w:after="0" w:line="260" w:lineRule="atLeast"/>
        <w:ind w:left="39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CC01E4">
        <w:rPr>
          <w:rFonts w:ascii="Arial" w:hAnsi="Arial" w:cs="Arial"/>
          <w:b/>
          <w:sz w:val="21"/>
          <w:szCs w:val="21"/>
        </w:rPr>
        <w:t>Evidenz</w:t>
      </w:r>
      <w:r w:rsidR="00227606" w:rsidRPr="00CC01E4">
        <w:rPr>
          <w:rFonts w:ascii="Arial" w:hAnsi="Arial" w:cs="Arial"/>
          <w:b/>
          <w:sz w:val="21"/>
          <w:szCs w:val="21"/>
        </w:rPr>
        <w:t xml:space="preserve">quellen: </w:t>
      </w:r>
      <w:r w:rsidR="00227606" w:rsidRPr="00CC01E4">
        <w:rPr>
          <w:rFonts w:ascii="Arial" w:hAnsi="Arial" w:cs="Arial"/>
          <w:sz w:val="21"/>
          <w:szCs w:val="21"/>
        </w:rPr>
        <w:t xml:space="preserve">Eine </w:t>
      </w:r>
      <w:proofErr w:type="spellStart"/>
      <w:r w:rsidR="0004394D" w:rsidRPr="00CC01E4">
        <w:rPr>
          <w:rFonts w:ascii="Arial" w:hAnsi="Arial" w:cs="Arial"/>
          <w:sz w:val="21"/>
          <w:szCs w:val="21"/>
        </w:rPr>
        <w:t>Inwertsetzung</w:t>
      </w:r>
      <w:proofErr w:type="spellEnd"/>
      <w:r w:rsidR="00227606" w:rsidRPr="00CC01E4">
        <w:rPr>
          <w:rFonts w:ascii="Arial" w:hAnsi="Arial" w:cs="Arial"/>
          <w:sz w:val="21"/>
          <w:szCs w:val="21"/>
        </w:rPr>
        <w:t xml:space="preserve"> der Diversität von Evidenzquellen ist eine Voraussetzung zur Steigerung der Wirksamkeit. </w:t>
      </w:r>
      <w:r w:rsidR="004033CC" w:rsidRPr="00CC01E4">
        <w:rPr>
          <w:rFonts w:ascii="Arial" w:hAnsi="Arial" w:cs="Arial"/>
          <w:sz w:val="21"/>
          <w:szCs w:val="21"/>
        </w:rPr>
        <w:t>„</w:t>
      </w:r>
      <w:r w:rsidR="00227606" w:rsidRPr="00CC01E4">
        <w:rPr>
          <w:rFonts w:ascii="Arial" w:hAnsi="Arial" w:cs="Arial"/>
          <w:sz w:val="21"/>
          <w:szCs w:val="21"/>
        </w:rPr>
        <w:t>Projektnahe</w:t>
      </w:r>
      <w:r w:rsidR="004033CC" w:rsidRPr="00CC01E4">
        <w:rPr>
          <w:rFonts w:ascii="Arial" w:hAnsi="Arial" w:cs="Arial"/>
          <w:sz w:val="21"/>
          <w:szCs w:val="21"/>
        </w:rPr>
        <w:t>“</w:t>
      </w:r>
      <w:r w:rsidR="00227606" w:rsidRPr="00CC01E4">
        <w:rPr>
          <w:rFonts w:ascii="Arial" w:hAnsi="Arial" w:cs="Arial"/>
          <w:sz w:val="21"/>
          <w:szCs w:val="21"/>
        </w:rPr>
        <w:t xml:space="preserve"> und </w:t>
      </w:r>
      <w:r w:rsidR="004033CC" w:rsidRPr="00CC01E4">
        <w:rPr>
          <w:rFonts w:ascii="Arial" w:hAnsi="Arial" w:cs="Arial"/>
          <w:sz w:val="21"/>
          <w:szCs w:val="21"/>
        </w:rPr>
        <w:t>„</w:t>
      </w:r>
      <w:r w:rsidR="00227606" w:rsidRPr="00CC01E4">
        <w:rPr>
          <w:rFonts w:ascii="Arial" w:hAnsi="Arial" w:cs="Arial"/>
          <w:sz w:val="21"/>
          <w:szCs w:val="21"/>
        </w:rPr>
        <w:t>projektferne</w:t>
      </w:r>
      <w:r w:rsidR="004033CC" w:rsidRPr="00CC01E4">
        <w:rPr>
          <w:rFonts w:ascii="Arial" w:hAnsi="Arial" w:cs="Arial"/>
          <w:sz w:val="21"/>
          <w:szCs w:val="21"/>
        </w:rPr>
        <w:t>“</w:t>
      </w:r>
      <w:r w:rsidR="00227606" w:rsidRPr="00CC01E4">
        <w:rPr>
          <w:rFonts w:ascii="Arial" w:hAnsi="Arial" w:cs="Arial"/>
          <w:sz w:val="21"/>
          <w:szCs w:val="21"/>
        </w:rPr>
        <w:t xml:space="preserve"> Evidenz </w:t>
      </w:r>
      <w:r w:rsidR="004033CC" w:rsidRPr="00CC01E4">
        <w:rPr>
          <w:rFonts w:ascii="Arial" w:hAnsi="Arial" w:cs="Arial"/>
          <w:sz w:val="21"/>
          <w:szCs w:val="21"/>
        </w:rPr>
        <w:t>ist</w:t>
      </w:r>
      <w:r w:rsidR="00227606" w:rsidRPr="00CC01E4">
        <w:rPr>
          <w:rFonts w:ascii="Arial" w:hAnsi="Arial" w:cs="Arial"/>
          <w:sz w:val="21"/>
          <w:szCs w:val="21"/>
        </w:rPr>
        <w:t xml:space="preserve"> als Vereinfachung hilfreich, solange das gesamte Spektrum von Evidenzquellen berücksichtigt wird. Projektnahe Informationen gelten </w:t>
      </w:r>
      <w:r w:rsidR="004033CC" w:rsidRPr="00CC01E4">
        <w:rPr>
          <w:rFonts w:ascii="Arial" w:hAnsi="Arial" w:cs="Arial"/>
          <w:sz w:val="21"/>
          <w:szCs w:val="21"/>
        </w:rPr>
        <w:t xml:space="preserve">zudem nur </w:t>
      </w:r>
      <w:r w:rsidR="00227606" w:rsidRPr="00CC01E4">
        <w:rPr>
          <w:rFonts w:ascii="Arial" w:hAnsi="Arial" w:cs="Arial"/>
          <w:sz w:val="21"/>
          <w:szCs w:val="21"/>
        </w:rPr>
        <w:t xml:space="preserve">als Evidenz, wenn sie systematisch erhoben wurden und auf belegbaren Daten beruhen (siehe </w:t>
      </w:r>
      <w:r w:rsidR="00227606" w:rsidRPr="00CC01E4">
        <w:rPr>
          <w:rFonts w:ascii="Arial" w:hAnsi="Arial" w:cs="Arial"/>
          <w:i/>
          <w:sz w:val="21"/>
          <w:szCs w:val="21"/>
        </w:rPr>
        <w:t>BMZ-Definition</w:t>
      </w:r>
      <w:r w:rsidR="00227606" w:rsidRPr="00CC01E4">
        <w:rPr>
          <w:rFonts w:ascii="Arial" w:hAnsi="Arial" w:cs="Arial"/>
          <w:sz w:val="21"/>
          <w:szCs w:val="21"/>
        </w:rPr>
        <w:t>).</w:t>
      </w:r>
      <w:r w:rsidR="004033CC" w:rsidRPr="00CC01E4">
        <w:rPr>
          <w:rFonts w:ascii="Arial" w:hAnsi="Arial" w:cs="Arial"/>
          <w:sz w:val="21"/>
          <w:szCs w:val="21"/>
        </w:rPr>
        <w:t xml:space="preserve"> P</w:t>
      </w:r>
      <w:r w:rsidR="00227606" w:rsidRPr="00CC01E4">
        <w:rPr>
          <w:rFonts w:ascii="Arial" w:hAnsi="Arial" w:cs="Arial"/>
          <w:sz w:val="21"/>
          <w:szCs w:val="21"/>
        </w:rPr>
        <w:t xml:space="preserve">rojektnahe Evidenz umfasst </w:t>
      </w:r>
      <w:r w:rsidR="00956965" w:rsidRPr="00CC01E4">
        <w:rPr>
          <w:rFonts w:ascii="Arial" w:hAnsi="Arial" w:cs="Arial"/>
          <w:sz w:val="21"/>
          <w:szCs w:val="21"/>
        </w:rPr>
        <w:t>üblicherweise</w:t>
      </w:r>
      <w:r w:rsidR="00227606" w:rsidRPr="00CC01E4">
        <w:rPr>
          <w:rFonts w:ascii="Arial" w:hAnsi="Arial" w:cs="Arial"/>
          <w:sz w:val="21"/>
          <w:szCs w:val="21"/>
        </w:rPr>
        <w:t xml:space="preserve"> Moduljahresberichte, Abschlussberichte</w:t>
      </w:r>
      <w:r w:rsidR="00956965" w:rsidRPr="00CC01E4">
        <w:rPr>
          <w:rFonts w:ascii="Arial" w:hAnsi="Arial" w:cs="Arial"/>
          <w:sz w:val="21"/>
          <w:szCs w:val="21"/>
        </w:rPr>
        <w:t xml:space="preserve">, </w:t>
      </w:r>
      <w:r w:rsidR="00227606" w:rsidRPr="00CC01E4">
        <w:rPr>
          <w:rFonts w:ascii="Arial" w:hAnsi="Arial" w:cs="Arial"/>
          <w:sz w:val="21"/>
          <w:szCs w:val="21"/>
        </w:rPr>
        <w:t>Projektevaluierungen</w:t>
      </w:r>
      <w:r w:rsidR="00956965" w:rsidRPr="00CC01E4">
        <w:rPr>
          <w:rFonts w:ascii="Arial" w:hAnsi="Arial" w:cs="Arial"/>
          <w:sz w:val="21"/>
          <w:szCs w:val="21"/>
        </w:rPr>
        <w:t xml:space="preserve"> und </w:t>
      </w:r>
      <w:r w:rsidR="004033CC" w:rsidRPr="00CC01E4">
        <w:rPr>
          <w:rFonts w:ascii="Arial" w:hAnsi="Arial" w:cs="Arial"/>
          <w:sz w:val="21"/>
          <w:szCs w:val="21"/>
        </w:rPr>
        <w:t>Auszüge aus dem Monitoring</w:t>
      </w:r>
      <w:r w:rsidR="00227606" w:rsidRPr="00CC01E4">
        <w:rPr>
          <w:rFonts w:ascii="Arial" w:hAnsi="Arial" w:cs="Arial"/>
          <w:sz w:val="21"/>
          <w:szCs w:val="21"/>
        </w:rPr>
        <w:t xml:space="preserve"> eines Vorhabens</w:t>
      </w:r>
      <w:r w:rsidR="004033CC" w:rsidRPr="00CC01E4">
        <w:rPr>
          <w:rFonts w:ascii="Arial" w:hAnsi="Arial" w:cs="Arial"/>
          <w:sz w:val="21"/>
          <w:szCs w:val="21"/>
        </w:rPr>
        <w:t>, jedoch nicht individuelle Einschätzungen</w:t>
      </w:r>
      <w:r w:rsidR="00956965" w:rsidRPr="00CC01E4">
        <w:rPr>
          <w:rFonts w:ascii="Arial" w:hAnsi="Arial" w:cs="Arial"/>
          <w:sz w:val="21"/>
          <w:szCs w:val="21"/>
        </w:rPr>
        <w:t>.</w:t>
      </w:r>
    </w:p>
    <w:p w14:paraId="4722D752" w14:textId="675C44DB" w:rsidR="00956965" w:rsidRPr="00CC01E4" w:rsidRDefault="003E6958" w:rsidP="00CC01E4">
      <w:pPr>
        <w:pStyle w:val="Listenabsatz"/>
        <w:numPr>
          <w:ilvl w:val="0"/>
          <w:numId w:val="3"/>
        </w:numPr>
        <w:spacing w:before="120" w:after="0" w:line="260" w:lineRule="atLeast"/>
        <w:ind w:left="39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CC01E4">
        <w:rPr>
          <w:rFonts w:ascii="Arial" w:hAnsi="Arial" w:cs="Arial"/>
          <w:b/>
          <w:sz w:val="21"/>
          <w:szCs w:val="21"/>
        </w:rPr>
        <w:t>Evidenz</w:t>
      </w:r>
      <w:r w:rsidR="00956965" w:rsidRPr="00CC01E4">
        <w:rPr>
          <w:rFonts w:ascii="Arial" w:hAnsi="Arial" w:cs="Arial"/>
          <w:b/>
          <w:sz w:val="21"/>
          <w:szCs w:val="21"/>
        </w:rPr>
        <w:t>dokumentation</w:t>
      </w:r>
      <w:r w:rsidR="004C3A94" w:rsidRPr="00CC01E4">
        <w:rPr>
          <w:rFonts w:ascii="Arial" w:hAnsi="Arial" w:cs="Arial"/>
          <w:b/>
          <w:sz w:val="21"/>
          <w:szCs w:val="21"/>
        </w:rPr>
        <w:t>:</w:t>
      </w:r>
      <w:r w:rsidRPr="00CC01E4">
        <w:rPr>
          <w:rFonts w:ascii="Arial" w:hAnsi="Arial" w:cs="Arial"/>
          <w:sz w:val="21"/>
          <w:szCs w:val="21"/>
        </w:rPr>
        <w:t xml:space="preserve"> </w:t>
      </w:r>
      <w:r w:rsidR="00956965" w:rsidRPr="00CC01E4">
        <w:rPr>
          <w:rFonts w:ascii="Arial" w:hAnsi="Arial" w:cs="Arial"/>
          <w:sz w:val="21"/>
          <w:szCs w:val="21"/>
        </w:rPr>
        <w:t>Modulvorschläge sollten grundsätzlich nachvollziehbar darlegen,</w:t>
      </w:r>
      <w:r w:rsidRPr="00CC01E4">
        <w:rPr>
          <w:rFonts w:ascii="Arial" w:hAnsi="Arial" w:cs="Arial"/>
          <w:sz w:val="21"/>
          <w:szCs w:val="21"/>
        </w:rPr>
        <w:t xml:space="preserve"> </w:t>
      </w:r>
      <w:r w:rsidR="00956965" w:rsidRPr="00CC01E4">
        <w:rPr>
          <w:rFonts w:ascii="Arial" w:hAnsi="Arial" w:cs="Arial"/>
          <w:sz w:val="21"/>
          <w:szCs w:val="21"/>
        </w:rPr>
        <w:t xml:space="preserve">welche </w:t>
      </w:r>
      <w:r w:rsidRPr="00CC01E4">
        <w:rPr>
          <w:rFonts w:ascii="Arial" w:hAnsi="Arial" w:cs="Arial"/>
          <w:sz w:val="21"/>
          <w:szCs w:val="21"/>
        </w:rPr>
        <w:t>Evidenz</w:t>
      </w:r>
      <w:r w:rsidR="00956965" w:rsidRPr="00CC01E4">
        <w:rPr>
          <w:rFonts w:ascii="Arial" w:hAnsi="Arial" w:cs="Arial"/>
          <w:sz w:val="21"/>
          <w:szCs w:val="21"/>
        </w:rPr>
        <w:t xml:space="preserve"> (Quellen und Umfang)</w:t>
      </w:r>
      <w:r w:rsidRPr="00CC01E4">
        <w:rPr>
          <w:rFonts w:ascii="Arial" w:hAnsi="Arial" w:cs="Arial"/>
          <w:sz w:val="21"/>
          <w:szCs w:val="21"/>
        </w:rPr>
        <w:t xml:space="preserve"> der Formulierung der Wirkungslogik zugrunde liegt</w:t>
      </w:r>
      <w:r w:rsidR="00956965" w:rsidRPr="00CC01E4">
        <w:rPr>
          <w:rFonts w:ascii="Arial" w:hAnsi="Arial" w:cs="Arial"/>
          <w:sz w:val="21"/>
          <w:szCs w:val="21"/>
        </w:rPr>
        <w:t xml:space="preserve">. Das dient der transparenten Darstellung des aktuellen Wissensstands zur Wirksamkeit in den jeweiligen Fach- und Länderkontexten. Diese Evidenzdokumentation ist </w:t>
      </w:r>
      <w:r w:rsidR="004033CC" w:rsidRPr="00CC01E4">
        <w:rPr>
          <w:rFonts w:ascii="Arial" w:hAnsi="Arial" w:cs="Arial"/>
          <w:sz w:val="21"/>
          <w:szCs w:val="21"/>
        </w:rPr>
        <w:t>die</w:t>
      </w:r>
      <w:r w:rsidR="00956965" w:rsidRPr="00CC01E4">
        <w:rPr>
          <w:rFonts w:ascii="Arial" w:hAnsi="Arial" w:cs="Arial"/>
          <w:sz w:val="21"/>
          <w:szCs w:val="21"/>
        </w:rPr>
        <w:t xml:space="preserve"> Grundlage für lernorientierte Praxis. Es geht dabei </w:t>
      </w:r>
      <w:r w:rsidR="00956965" w:rsidRPr="00CC01E4">
        <w:rPr>
          <w:rFonts w:ascii="Arial" w:hAnsi="Arial" w:cs="Arial"/>
          <w:sz w:val="21"/>
          <w:szCs w:val="21"/>
          <w:u w:val="single"/>
        </w:rPr>
        <w:t>nicht</w:t>
      </w:r>
      <w:r w:rsidR="00956965" w:rsidRPr="00CC01E4">
        <w:rPr>
          <w:rFonts w:ascii="Arial" w:hAnsi="Arial" w:cs="Arial"/>
          <w:sz w:val="21"/>
          <w:szCs w:val="21"/>
        </w:rPr>
        <w:t xml:space="preserve"> um eine kleinteilige Kontrolle von Quellenangaben.</w:t>
      </w:r>
    </w:p>
    <w:p w14:paraId="4815D1AC" w14:textId="1AF34638" w:rsidR="00662544" w:rsidRPr="00CC01E4" w:rsidRDefault="00956965" w:rsidP="00CC01E4">
      <w:pPr>
        <w:pStyle w:val="Listenabsatz"/>
        <w:numPr>
          <w:ilvl w:val="0"/>
          <w:numId w:val="3"/>
        </w:numPr>
        <w:spacing w:before="120" w:after="0" w:line="260" w:lineRule="atLeast"/>
        <w:ind w:left="397"/>
        <w:contextualSpacing w:val="0"/>
        <w:jc w:val="both"/>
        <w:rPr>
          <w:rFonts w:ascii="Arial" w:hAnsi="Arial" w:cs="Arial"/>
          <w:sz w:val="21"/>
          <w:szCs w:val="21"/>
        </w:rPr>
      </w:pPr>
      <w:r w:rsidRPr="00CC01E4">
        <w:rPr>
          <w:rFonts w:ascii="Arial" w:hAnsi="Arial" w:cs="Arial"/>
          <w:b/>
          <w:sz w:val="21"/>
          <w:szCs w:val="21"/>
        </w:rPr>
        <w:t>Evidenzschnittstellen:</w:t>
      </w:r>
      <w:r w:rsidR="002E5B88" w:rsidRPr="00CC01E4">
        <w:rPr>
          <w:rFonts w:ascii="Arial" w:hAnsi="Arial" w:cs="Arial"/>
          <w:b/>
          <w:sz w:val="21"/>
          <w:szCs w:val="21"/>
        </w:rPr>
        <w:t xml:space="preserve"> </w:t>
      </w:r>
      <w:r w:rsidR="00662544" w:rsidRPr="00CC01E4">
        <w:rPr>
          <w:rFonts w:ascii="Arial" w:hAnsi="Arial" w:cs="Arial"/>
          <w:sz w:val="21"/>
          <w:szCs w:val="21"/>
        </w:rPr>
        <w:t xml:space="preserve">Die Wissensmanagement-Systeme der </w:t>
      </w:r>
      <w:proofErr w:type="spellStart"/>
      <w:r w:rsidR="00662544" w:rsidRPr="00CC01E4">
        <w:rPr>
          <w:rFonts w:ascii="Arial" w:hAnsi="Arial" w:cs="Arial"/>
          <w:sz w:val="21"/>
          <w:szCs w:val="21"/>
        </w:rPr>
        <w:t>DOen</w:t>
      </w:r>
      <w:proofErr w:type="spellEnd"/>
      <w:r w:rsidR="00662544" w:rsidRPr="00CC01E4">
        <w:rPr>
          <w:rFonts w:ascii="Arial" w:hAnsi="Arial" w:cs="Arial"/>
          <w:sz w:val="21"/>
          <w:szCs w:val="21"/>
        </w:rPr>
        <w:t xml:space="preserve"> sollten Evidenz</w:t>
      </w:r>
      <w:r w:rsidR="00CC01E4">
        <w:rPr>
          <w:rFonts w:ascii="Arial" w:hAnsi="Arial" w:cs="Arial"/>
          <w:sz w:val="21"/>
          <w:szCs w:val="21"/>
        </w:rPr>
        <w:softHyphen/>
      </w:r>
      <w:r w:rsidR="00662544" w:rsidRPr="00CC01E4">
        <w:rPr>
          <w:rFonts w:ascii="Arial" w:hAnsi="Arial" w:cs="Arial"/>
          <w:sz w:val="21"/>
          <w:szCs w:val="21"/>
        </w:rPr>
        <w:t xml:space="preserve">quellen verstärkt </w:t>
      </w:r>
      <w:r w:rsidR="004033CC" w:rsidRPr="00CC01E4">
        <w:rPr>
          <w:rFonts w:ascii="Arial" w:hAnsi="Arial" w:cs="Arial"/>
          <w:sz w:val="21"/>
          <w:szCs w:val="21"/>
        </w:rPr>
        <w:t>derart</w:t>
      </w:r>
      <w:r w:rsidR="00662544" w:rsidRPr="00CC01E4">
        <w:rPr>
          <w:rFonts w:ascii="Arial" w:hAnsi="Arial" w:cs="Arial"/>
          <w:sz w:val="21"/>
          <w:szCs w:val="21"/>
        </w:rPr>
        <w:t xml:space="preserve"> dokumentieren, dass Schnittstellen mit dem BMZ effizienter genutzt werden können. </w:t>
      </w:r>
      <w:r w:rsidR="004033CC" w:rsidRPr="00CC01E4">
        <w:rPr>
          <w:rFonts w:ascii="Arial" w:hAnsi="Arial" w:cs="Arial"/>
          <w:sz w:val="21"/>
          <w:szCs w:val="21"/>
        </w:rPr>
        <w:t xml:space="preserve">Der Versuch einer </w:t>
      </w:r>
      <w:r w:rsidR="00662544" w:rsidRPr="00CC01E4">
        <w:rPr>
          <w:rFonts w:ascii="Arial" w:hAnsi="Arial" w:cs="Arial"/>
          <w:sz w:val="21"/>
          <w:szCs w:val="21"/>
        </w:rPr>
        <w:t>thematisch arbeitsteilige</w:t>
      </w:r>
      <w:r w:rsidR="004033CC" w:rsidRPr="00CC01E4">
        <w:rPr>
          <w:rFonts w:ascii="Arial" w:hAnsi="Arial" w:cs="Arial"/>
          <w:sz w:val="21"/>
          <w:szCs w:val="21"/>
        </w:rPr>
        <w:t>n</w:t>
      </w:r>
      <w:r w:rsidR="00662544" w:rsidRPr="00CC01E4">
        <w:rPr>
          <w:rFonts w:ascii="Arial" w:hAnsi="Arial" w:cs="Arial"/>
          <w:sz w:val="21"/>
          <w:szCs w:val="21"/>
        </w:rPr>
        <w:t xml:space="preserve"> Wissensgenerierung durch BMZ und </w:t>
      </w:r>
      <w:proofErr w:type="spellStart"/>
      <w:r w:rsidR="00662544" w:rsidRPr="00CC01E4">
        <w:rPr>
          <w:rFonts w:ascii="Arial" w:hAnsi="Arial" w:cs="Arial"/>
          <w:sz w:val="21"/>
          <w:szCs w:val="21"/>
        </w:rPr>
        <w:t>DOen</w:t>
      </w:r>
      <w:proofErr w:type="spellEnd"/>
      <w:r w:rsidR="00662544" w:rsidRPr="00CC01E4">
        <w:rPr>
          <w:rFonts w:ascii="Arial" w:hAnsi="Arial" w:cs="Arial"/>
          <w:sz w:val="21"/>
          <w:szCs w:val="21"/>
        </w:rPr>
        <w:t xml:space="preserve"> ist </w:t>
      </w:r>
      <w:r w:rsidR="004033CC" w:rsidRPr="00CC01E4">
        <w:rPr>
          <w:rFonts w:ascii="Arial" w:hAnsi="Arial" w:cs="Arial"/>
          <w:sz w:val="21"/>
          <w:szCs w:val="21"/>
        </w:rPr>
        <w:t xml:space="preserve">aufgrund unterschiedlicher Bedarfe </w:t>
      </w:r>
      <w:r w:rsidR="00662544" w:rsidRPr="00CC01E4">
        <w:rPr>
          <w:rFonts w:ascii="Arial" w:hAnsi="Arial" w:cs="Arial"/>
          <w:sz w:val="21"/>
          <w:szCs w:val="21"/>
        </w:rPr>
        <w:t>nicht sinnvoll. BMZ-Mitarbei</w:t>
      </w:r>
      <w:r w:rsidR="00CC01E4">
        <w:rPr>
          <w:rFonts w:ascii="Arial" w:hAnsi="Arial" w:cs="Arial"/>
          <w:sz w:val="21"/>
          <w:szCs w:val="21"/>
        </w:rPr>
        <w:softHyphen/>
      </w:r>
      <w:r w:rsidR="00662544" w:rsidRPr="00CC01E4">
        <w:rPr>
          <w:rFonts w:ascii="Arial" w:hAnsi="Arial" w:cs="Arial"/>
          <w:sz w:val="21"/>
          <w:szCs w:val="21"/>
        </w:rPr>
        <w:t xml:space="preserve">ter*innen sollten regelmäßig an DO-Fachtagen teilnehmen und befristet in den </w:t>
      </w:r>
      <w:proofErr w:type="spellStart"/>
      <w:r w:rsidR="00662544" w:rsidRPr="00CC01E4">
        <w:rPr>
          <w:rFonts w:ascii="Arial" w:hAnsi="Arial" w:cs="Arial"/>
          <w:sz w:val="21"/>
          <w:szCs w:val="21"/>
        </w:rPr>
        <w:t>DOen</w:t>
      </w:r>
      <w:proofErr w:type="spellEnd"/>
      <w:r w:rsidR="00662544" w:rsidRPr="00CC01E4">
        <w:rPr>
          <w:rFonts w:ascii="Arial" w:hAnsi="Arial" w:cs="Arial"/>
          <w:sz w:val="21"/>
          <w:szCs w:val="21"/>
        </w:rPr>
        <w:t xml:space="preserve"> mitarbeiten können.</w:t>
      </w:r>
    </w:p>
    <w:p w14:paraId="2B50D9A2" w14:textId="148A5173" w:rsidR="00674273" w:rsidRPr="00CC01E4" w:rsidRDefault="00662544" w:rsidP="00CC01E4">
      <w:pPr>
        <w:pStyle w:val="Listenabsatz"/>
        <w:numPr>
          <w:ilvl w:val="0"/>
          <w:numId w:val="3"/>
        </w:numPr>
        <w:spacing w:before="120" w:after="0" w:line="260" w:lineRule="atLeast"/>
        <w:ind w:left="397"/>
        <w:contextualSpacing w:val="0"/>
        <w:jc w:val="both"/>
        <w:rPr>
          <w:rFonts w:ascii="Arial" w:hAnsi="Arial" w:cs="Arial"/>
          <w:sz w:val="21"/>
          <w:szCs w:val="21"/>
        </w:rPr>
      </w:pPr>
      <w:r w:rsidRPr="00CC01E4">
        <w:rPr>
          <w:rFonts w:ascii="Arial" w:hAnsi="Arial" w:cs="Arial"/>
          <w:b/>
          <w:sz w:val="21"/>
          <w:szCs w:val="21"/>
        </w:rPr>
        <w:t>Evidenzgespräche</w:t>
      </w:r>
      <w:r w:rsidR="004C3A94" w:rsidRPr="00CC01E4">
        <w:rPr>
          <w:rFonts w:ascii="Arial" w:hAnsi="Arial" w:cs="Arial"/>
          <w:b/>
          <w:sz w:val="21"/>
          <w:szCs w:val="21"/>
        </w:rPr>
        <w:t>:</w:t>
      </w:r>
      <w:r w:rsidRPr="00CC01E4">
        <w:rPr>
          <w:rFonts w:ascii="Arial" w:hAnsi="Arial" w:cs="Arial"/>
          <w:sz w:val="21"/>
          <w:szCs w:val="21"/>
        </w:rPr>
        <w:t xml:space="preserve"> Die deutsche EZ braucht ein Format ähnlich eines vertraulichen Länder- oder Werkstattgesprächs, in dem unterschiedliche Stakeholder außerhalb regulärer Planungsverfahren</w:t>
      </w:r>
      <w:r w:rsidR="00674273" w:rsidRPr="00CC01E4">
        <w:rPr>
          <w:rFonts w:ascii="Arial" w:hAnsi="Arial" w:cs="Arial"/>
          <w:sz w:val="21"/>
          <w:szCs w:val="21"/>
        </w:rPr>
        <w:t xml:space="preserve"> Erfolge, aber auch</w:t>
      </w:r>
      <w:r w:rsidRPr="00CC01E4">
        <w:rPr>
          <w:rFonts w:ascii="Arial" w:hAnsi="Arial" w:cs="Arial"/>
          <w:sz w:val="21"/>
          <w:szCs w:val="21"/>
        </w:rPr>
        <w:t xml:space="preserve"> Misserfolge evidenzbasiert und sanktionsfrei diskutieren können, um </w:t>
      </w:r>
      <w:r w:rsidR="004033CC" w:rsidRPr="00CC01E4">
        <w:rPr>
          <w:rFonts w:ascii="Arial" w:hAnsi="Arial" w:cs="Arial"/>
          <w:sz w:val="21"/>
          <w:szCs w:val="21"/>
        </w:rPr>
        <w:t xml:space="preserve">gemeinsam </w:t>
      </w:r>
      <w:r w:rsidRPr="00CC01E4">
        <w:rPr>
          <w:rFonts w:ascii="Arial" w:hAnsi="Arial" w:cs="Arial"/>
          <w:sz w:val="21"/>
          <w:szCs w:val="21"/>
        </w:rPr>
        <w:t>Wissen zu generieren</w:t>
      </w:r>
      <w:r w:rsidR="005A3AA8" w:rsidRPr="00CC01E4">
        <w:rPr>
          <w:rFonts w:ascii="Arial" w:hAnsi="Arial" w:cs="Arial"/>
          <w:sz w:val="21"/>
          <w:szCs w:val="21"/>
        </w:rPr>
        <w:t>,</w:t>
      </w:r>
      <w:r w:rsidRPr="00CC01E4">
        <w:rPr>
          <w:rFonts w:ascii="Arial" w:hAnsi="Arial" w:cs="Arial"/>
          <w:sz w:val="21"/>
          <w:szCs w:val="21"/>
        </w:rPr>
        <w:t xml:space="preserve"> anstatt </w:t>
      </w:r>
      <w:r w:rsidR="00715A0D" w:rsidRPr="00CC01E4">
        <w:rPr>
          <w:rFonts w:ascii="Arial" w:hAnsi="Arial" w:cs="Arial"/>
          <w:sz w:val="21"/>
          <w:szCs w:val="21"/>
        </w:rPr>
        <w:t>Allokationse</w:t>
      </w:r>
      <w:r w:rsidRPr="00CC01E4">
        <w:rPr>
          <w:rFonts w:ascii="Arial" w:hAnsi="Arial" w:cs="Arial"/>
          <w:sz w:val="21"/>
          <w:szCs w:val="21"/>
        </w:rPr>
        <w:t xml:space="preserve">ntscheidungen zu treffen. </w:t>
      </w:r>
    </w:p>
    <w:p w14:paraId="78968939" w14:textId="21B84AEB" w:rsidR="00715A0D" w:rsidRPr="00CC01E4" w:rsidRDefault="00662544" w:rsidP="00CC01E4">
      <w:pPr>
        <w:pStyle w:val="Listenabsatz"/>
        <w:numPr>
          <w:ilvl w:val="0"/>
          <w:numId w:val="3"/>
        </w:numPr>
        <w:spacing w:before="120" w:after="0" w:line="260" w:lineRule="atLeast"/>
        <w:ind w:left="397"/>
        <w:contextualSpacing w:val="0"/>
        <w:jc w:val="both"/>
        <w:rPr>
          <w:rFonts w:ascii="Arial" w:hAnsi="Arial" w:cs="Arial"/>
          <w:sz w:val="21"/>
          <w:szCs w:val="21"/>
        </w:rPr>
      </w:pPr>
      <w:r w:rsidRPr="00CC01E4">
        <w:rPr>
          <w:rFonts w:ascii="Arial" w:hAnsi="Arial" w:cs="Arial"/>
          <w:b/>
          <w:sz w:val="21"/>
          <w:szCs w:val="21"/>
        </w:rPr>
        <w:t>Evidenzfortbildungen:</w:t>
      </w:r>
      <w:r w:rsidR="00715A0D" w:rsidRPr="00CC01E4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674273" w:rsidRPr="00CC01E4">
        <w:rPr>
          <w:rFonts w:ascii="Arial" w:hAnsi="Arial" w:cs="Arial"/>
          <w:sz w:val="21"/>
          <w:szCs w:val="21"/>
        </w:rPr>
        <w:t>Die meisten</w:t>
      </w:r>
      <w:r w:rsidR="00715A0D" w:rsidRPr="00CC01E4">
        <w:rPr>
          <w:rFonts w:ascii="Arial" w:hAnsi="Arial" w:cs="Arial"/>
          <w:sz w:val="21"/>
          <w:szCs w:val="21"/>
        </w:rPr>
        <w:t xml:space="preserve"> </w:t>
      </w:r>
      <w:r w:rsidR="00674273" w:rsidRPr="00CC01E4">
        <w:rPr>
          <w:rFonts w:ascii="Arial" w:hAnsi="Arial" w:cs="Arial"/>
          <w:sz w:val="21"/>
          <w:szCs w:val="21"/>
        </w:rPr>
        <w:t>Kolleg</w:t>
      </w:r>
      <w:proofErr w:type="gramEnd"/>
      <w:r w:rsidR="00715A0D" w:rsidRPr="00CC01E4">
        <w:rPr>
          <w:rFonts w:ascii="Arial" w:hAnsi="Arial" w:cs="Arial"/>
          <w:sz w:val="21"/>
          <w:szCs w:val="21"/>
        </w:rPr>
        <w:t>*innen in der EZ haben ein starkes Interesse am kontinuierlichen Lernen</w:t>
      </w:r>
      <w:r w:rsidR="00674273" w:rsidRPr="00CC01E4">
        <w:rPr>
          <w:rFonts w:ascii="Arial" w:hAnsi="Arial" w:cs="Arial"/>
          <w:sz w:val="21"/>
          <w:szCs w:val="21"/>
        </w:rPr>
        <w:t xml:space="preserve">. </w:t>
      </w:r>
      <w:r w:rsidR="00715A0D" w:rsidRPr="00CC01E4">
        <w:rPr>
          <w:rFonts w:ascii="Arial" w:hAnsi="Arial" w:cs="Arial"/>
          <w:sz w:val="21"/>
          <w:szCs w:val="21"/>
        </w:rPr>
        <w:t>Zugleich bietet evidenzbasierte</w:t>
      </w:r>
      <w:r w:rsidR="00674273" w:rsidRPr="00CC01E4">
        <w:rPr>
          <w:rFonts w:ascii="Arial" w:hAnsi="Arial" w:cs="Arial"/>
          <w:sz w:val="21"/>
          <w:szCs w:val="21"/>
        </w:rPr>
        <w:t>s</w:t>
      </w:r>
      <w:r w:rsidR="00715A0D" w:rsidRPr="00CC01E4">
        <w:rPr>
          <w:rFonts w:ascii="Arial" w:hAnsi="Arial" w:cs="Arial"/>
          <w:sz w:val="21"/>
          <w:szCs w:val="21"/>
        </w:rPr>
        <w:t xml:space="preserve"> </w:t>
      </w:r>
      <w:r w:rsidR="00674273" w:rsidRPr="00CC01E4">
        <w:rPr>
          <w:rFonts w:ascii="Arial" w:hAnsi="Arial" w:cs="Arial"/>
          <w:sz w:val="21"/>
          <w:szCs w:val="21"/>
        </w:rPr>
        <w:t>Handeln</w:t>
      </w:r>
      <w:r w:rsidR="00715A0D" w:rsidRPr="00CC01E4">
        <w:rPr>
          <w:rFonts w:ascii="Arial" w:hAnsi="Arial" w:cs="Arial"/>
          <w:sz w:val="21"/>
          <w:szCs w:val="21"/>
        </w:rPr>
        <w:t xml:space="preserve"> </w:t>
      </w:r>
      <w:r w:rsidR="004033CC" w:rsidRPr="00CC01E4">
        <w:rPr>
          <w:rFonts w:ascii="Arial" w:hAnsi="Arial" w:cs="Arial"/>
          <w:sz w:val="21"/>
          <w:szCs w:val="21"/>
        </w:rPr>
        <w:t xml:space="preserve">neue </w:t>
      </w:r>
      <w:r w:rsidR="00715A0D" w:rsidRPr="00CC01E4">
        <w:rPr>
          <w:rFonts w:ascii="Arial" w:hAnsi="Arial" w:cs="Arial"/>
          <w:sz w:val="21"/>
          <w:szCs w:val="21"/>
        </w:rPr>
        <w:t>Möglichkeiten zur Innovation</w:t>
      </w:r>
      <w:r w:rsidR="00674273" w:rsidRPr="00CC01E4">
        <w:rPr>
          <w:rFonts w:ascii="Arial" w:hAnsi="Arial" w:cs="Arial"/>
          <w:sz w:val="21"/>
          <w:szCs w:val="21"/>
        </w:rPr>
        <w:t>.</w:t>
      </w:r>
      <w:r w:rsidR="00674273" w:rsidRPr="00CC01E4">
        <w:rPr>
          <w:rFonts w:ascii="Arial" w:hAnsi="Arial" w:cs="Arial"/>
          <w:b/>
          <w:sz w:val="21"/>
          <w:szCs w:val="21"/>
        </w:rPr>
        <w:t xml:space="preserve"> </w:t>
      </w:r>
      <w:r w:rsidR="00674273" w:rsidRPr="00CC01E4">
        <w:rPr>
          <w:rFonts w:ascii="Arial" w:hAnsi="Arial" w:cs="Arial"/>
          <w:sz w:val="21"/>
          <w:szCs w:val="21"/>
        </w:rPr>
        <w:t>Fortbildungen zur Evidenznutzung auf allen Karriereebenen</w:t>
      </w:r>
      <w:r w:rsidR="004033CC" w:rsidRPr="00CC01E4">
        <w:rPr>
          <w:rFonts w:ascii="Arial" w:hAnsi="Arial" w:cs="Arial"/>
          <w:sz w:val="21"/>
          <w:szCs w:val="21"/>
        </w:rPr>
        <w:t xml:space="preserve"> – </w:t>
      </w:r>
      <w:r w:rsidR="00674273" w:rsidRPr="00CC01E4">
        <w:rPr>
          <w:rFonts w:ascii="Arial" w:hAnsi="Arial" w:cs="Arial"/>
          <w:sz w:val="21"/>
          <w:szCs w:val="21"/>
        </w:rPr>
        <w:t>inklusive spezieller Formate für Führungskräfte</w:t>
      </w:r>
      <w:r w:rsidR="004033CC" w:rsidRPr="00CC01E4">
        <w:rPr>
          <w:rFonts w:ascii="Arial" w:hAnsi="Arial" w:cs="Arial"/>
          <w:sz w:val="21"/>
          <w:szCs w:val="21"/>
        </w:rPr>
        <w:t xml:space="preserve"> – </w:t>
      </w:r>
      <w:r w:rsidR="00674273" w:rsidRPr="00CC01E4">
        <w:rPr>
          <w:rFonts w:ascii="Arial" w:hAnsi="Arial" w:cs="Arial"/>
          <w:sz w:val="21"/>
          <w:szCs w:val="21"/>
        </w:rPr>
        <w:t xml:space="preserve">können die Handlungsfähigkeit der deutschen EZ erhöhen. </w:t>
      </w:r>
    </w:p>
    <w:p w14:paraId="32E335A7" w14:textId="1F69F1D2" w:rsidR="00662544" w:rsidRPr="00CC01E4" w:rsidRDefault="00674273" w:rsidP="00CC01E4">
      <w:pPr>
        <w:pStyle w:val="Listenabsatz"/>
        <w:numPr>
          <w:ilvl w:val="0"/>
          <w:numId w:val="3"/>
        </w:numPr>
        <w:spacing w:before="120" w:after="0" w:line="260" w:lineRule="atLeast"/>
        <w:ind w:left="397"/>
        <w:contextualSpacing w:val="0"/>
        <w:jc w:val="both"/>
        <w:rPr>
          <w:rFonts w:ascii="Arial" w:hAnsi="Arial" w:cs="Arial"/>
          <w:sz w:val="21"/>
          <w:szCs w:val="21"/>
        </w:rPr>
      </w:pPr>
      <w:r w:rsidRPr="00CC01E4">
        <w:rPr>
          <w:rFonts w:ascii="Arial" w:hAnsi="Arial" w:cs="Arial"/>
          <w:b/>
          <w:sz w:val="21"/>
          <w:szCs w:val="21"/>
        </w:rPr>
        <w:t>Evidenzpolitik:</w:t>
      </w:r>
      <w:r w:rsidRPr="00CC01E4">
        <w:rPr>
          <w:rFonts w:ascii="Arial" w:hAnsi="Arial" w:cs="Arial"/>
          <w:sz w:val="21"/>
          <w:szCs w:val="21"/>
        </w:rPr>
        <w:t xml:space="preserve"> </w:t>
      </w:r>
      <w:r w:rsidR="005B1AB0" w:rsidRPr="00CC01E4">
        <w:rPr>
          <w:rFonts w:ascii="Arial" w:hAnsi="Arial" w:cs="Arial"/>
          <w:sz w:val="21"/>
          <w:szCs w:val="21"/>
        </w:rPr>
        <w:t xml:space="preserve">Evidenznutzung ist nicht lediglich </w:t>
      </w:r>
      <w:r w:rsidR="00715A0D" w:rsidRPr="00CC01E4">
        <w:rPr>
          <w:rFonts w:ascii="Arial" w:hAnsi="Arial" w:cs="Arial"/>
          <w:sz w:val="21"/>
          <w:szCs w:val="21"/>
        </w:rPr>
        <w:t>ein Schritt i</w:t>
      </w:r>
      <w:r w:rsidR="005B1AB0" w:rsidRPr="00CC01E4">
        <w:rPr>
          <w:rFonts w:ascii="Arial" w:hAnsi="Arial" w:cs="Arial"/>
          <w:sz w:val="21"/>
          <w:szCs w:val="21"/>
        </w:rPr>
        <w:t>n der Modulbeauftragung</w:t>
      </w:r>
      <w:r w:rsidR="00715A0D" w:rsidRPr="00CC01E4">
        <w:rPr>
          <w:rFonts w:ascii="Arial" w:hAnsi="Arial" w:cs="Arial"/>
          <w:sz w:val="21"/>
          <w:szCs w:val="21"/>
        </w:rPr>
        <w:t xml:space="preserve">, sondern </w:t>
      </w:r>
      <w:r w:rsidR="005B1AB0" w:rsidRPr="00CC01E4">
        <w:rPr>
          <w:rFonts w:ascii="Arial" w:hAnsi="Arial" w:cs="Arial"/>
          <w:sz w:val="21"/>
          <w:szCs w:val="21"/>
        </w:rPr>
        <w:t>das Resultat</w:t>
      </w:r>
      <w:r w:rsidR="004033CC" w:rsidRPr="00CC01E4">
        <w:rPr>
          <w:rFonts w:ascii="Arial" w:hAnsi="Arial" w:cs="Arial"/>
          <w:sz w:val="21"/>
          <w:szCs w:val="21"/>
        </w:rPr>
        <w:t xml:space="preserve"> unterschiedlicher Rollenverständnisse und der Aushandlung</w:t>
      </w:r>
      <w:r w:rsidR="00715A0D" w:rsidRPr="00CC01E4">
        <w:rPr>
          <w:rFonts w:ascii="Arial" w:hAnsi="Arial" w:cs="Arial"/>
          <w:sz w:val="21"/>
          <w:szCs w:val="21"/>
        </w:rPr>
        <w:t xml:space="preserve"> institutioneller Interessen</w:t>
      </w:r>
      <w:r w:rsidR="005B1AB0" w:rsidRPr="00CC01E4">
        <w:rPr>
          <w:rFonts w:ascii="Arial" w:hAnsi="Arial" w:cs="Arial"/>
          <w:sz w:val="21"/>
          <w:szCs w:val="21"/>
        </w:rPr>
        <w:t xml:space="preserve">. </w:t>
      </w:r>
      <w:r w:rsidR="004033CC" w:rsidRPr="00CC01E4">
        <w:rPr>
          <w:rFonts w:ascii="Arial" w:hAnsi="Arial" w:cs="Arial"/>
          <w:sz w:val="21"/>
          <w:szCs w:val="21"/>
        </w:rPr>
        <w:t>Für eine</w:t>
      </w:r>
      <w:r w:rsidR="005B1AB0" w:rsidRPr="00CC01E4">
        <w:rPr>
          <w:rFonts w:ascii="Arial" w:hAnsi="Arial" w:cs="Arial"/>
          <w:sz w:val="21"/>
          <w:szCs w:val="21"/>
        </w:rPr>
        <w:t xml:space="preserve"> verbesserte Wirksamkeit der deutschen EZ kann das BMZ eine zentrale Funktion bei der </w:t>
      </w:r>
      <w:r w:rsidR="001121EF" w:rsidRPr="00CC01E4">
        <w:rPr>
          <w:rFonts w:ascii="Arial" w:hAnsi="Arial" w:cs="Arial"/>
          <w:sz w:val="21"/>
          <w:szCs w:val="21"/>
        </w:rPr>
        <w:t>Etablierung</w:t>
      </w:r>
      <w:r w:rsidR="005B1AB0" w:rsidRPr="00CC01E4">
        <w:rPr>
          <w:rFonts w:ascii="Arial" w:hAnsi="Arial" w:cs="Arial"/>
          <w:sz w:val="21"/>
          <w:szCs w:val="21"/>
        </w:rPr>
        <w:t xml:space="preserve"> </w:t>
      </w:r>
      <w:r w:rsidR="00715A0D" w:rsidRPr="00CC01E4">
        <w:rPr>
          <w:rFonts w:ascii="Arial" w:hAnsi="Arial" w:cs="Arial"/>
          <w:sz w:val="21"/>
          <w:szCs w:val="21"/>
        </w:rPr>
        <w:t>intra- und interorganisationaler Lernräume</w:t>
      </w:r>
      <w:r w:rsidR="005B1AB0" w:rsidRPr="00CC01E4">
        <w:rPr>
          <w:rFonts w:ascii="Arial" w:hAnsi="Arial" w:cs="Arial"/>
          <w:sz w:val="21"/>
          <w:szCs w:val="21"/>
        </w:rPr>
        <w:t xml:space="preserve"> übernehmen. </w:t>
      </w:r>
      <w:r w:rsidR="004033CC" w:rsidRPr="00CC01E4">
        <w:rPr>
          <w:rFonts w:ascii="Arial" w:hAnsi="Arial" w:cs="Arial"/>
          <w:sz w:val="21"/>
          <w:szCs w:val="21"/>
        </w:rPr>
        <w:t>In der Umsetzung</w:t>
      </w:r>
      <w:r w:rsidR="005B1AB0" w:rsidRPr="00CC01E4">
        <w:rPr>
          <w:rFonts w:ascii="Arial" w:hAnsi="Arial" w:cs="Arial"/>
          <w:sz w:val="21"/>
          <w:szCs w:val="21"/>
        </w:rPr>
        <w:t xml:space="preserve"> müssen klassische Prinzipal-Agenten-Dynamiken mitgedacht werden.</w:t>
      </w:r>
    </w:p>
    <w:p w14:paraId="59C8D70E" w14:textId="6E25657F" w:rsidR="00B237C5" w:rsidRPr="00CC01E4" w:rsidRDefault="005B1AB0" w:rsidP="00CC01E4">
      <w:pPr>
        <w:pStyle w:val="Listenabsatz"/>
        <w:numPr>
          <w:ilvl w:val="0"/>
          <w:numId w:val="3"/>
        </w:numPr>
        <w:spacing w:before="120" w:after="0" w:line="260" w:lineRule="atLeast"/>
        <w:ind w:left="397"/>
        <w:contextualSpacing w:val="0"/>
        <w:jc w:val="both"/>
        <w:rPr>
          <w:rFonts w:ascii="Arial" w:hAnsi="Arial" w:cs="Arial"/>
          <w:sz w:val="21"/>
          <w:szCs w:val="21"/>
        </w:rPr>
      </w:pPr>
      <w:r w:rsidRPr="00CC01E4">
        <w:rPr>
          <w:rFonts w:ascii="Arial" w:hAnsi="Arial" w:cs="Arial"/>
          <w:b/>
          <w:sz w:val="21"/>
          <w:szCs w:val="21"/>
        </w:rPr>
        <w:t>Evidenzkommunikation:</w:t>
      </w:r>
      <w:r w:rsidRPr="00CC01E4">
        <w:rPr>
          <w:rFonts w:ascii="Arial" w:hAnsi="Arial" w:cs="Arial"/>
          <w:sz w:val="21"/>
          <w:szCs w:val="21"/>
        </w:rPr>
        <w:t xml:space="preserve"> Eine transparentere Evidenznutzung kann Freiräume in der politischen Kommunikation von Erfolgen und Misserfolgen </w:t>
      </w:r>
      <w:r w:rsidR="001121EF" w:rsidRPr="00CC01E4">
        <w:rPr>
          <w:rFonts w:ascii="Arial" w:hAnsi="Arial" w:cs="Arial"/>
          <w:sz w:val="21"/>
          <w:szCs w:val="21"/>
        </w:rPr>
        <w:t>schaffen</w:t>
      </w:r>
      <w:r w:rsidRPr="00CC01E4">
        <w:rPr>
          <w:rFonts w:ascii="Arial" w:hAnsi="Arial" w:cs="Arial"/>
          <w:sz w:val="21"/>
          <w:szCs w:val="21"/>
        </w:rPr>
        <w:t>. Dadurch l</w:t>
      </w:r>
      <w:r w:rsidR="00493D61" w:rsidRPr="00CC01E4">
        <w:rPr>
          <w:rFonts w:ascii="Arial" w:hAnsi="Arial" w:cs="Arial"/>
          <w:sz w:val="21"/>
          <w:szCs w:val="21"/>
        </w:rPr>
        <w:t>ässt</w:t>
      </w:r>
      <w:r w:rsidRPr="00CC01E4">
        <w:rPr>
          <w:rFonts w:ascii="Arial" w:hAnsi="Arial" w:cs="Arial"/>
          <w:sz w:val="21"/>
          <w:szCs w:val="21"/>
        </w:rPr>
        <w:t xml:space="preserve"> sich die öffentliche Anerkennung der Komplexität von EZ-Modulen steigern</w:t>
      </w:r>
      <w:r w:rsidR="001121EF" w:rsidRPr="00CC01E4">
        <w:rPr>
          <w:rFonts w:ascii="Arial" w:hAnsi="Arial" w:cs="Arial"/>
          <w:sz w:val="21"/>
          <w:szCs w:val="21"/>
        </w:rPr>
        <w:t>. Außerdem ergeben sich z</w:t>
      </w:r>
      <w:r w:rsidR="00C347A4" w:rsidRPr="00CC01E4">
        <w:rPr>
          <w:rFonts w:ascii="Arial" w:hAnsi="Arial" w:cs="Arial"/>
          <w:sz w:val="21"/>
          <w:szCs w:val="21"/>
        </w:rPr>
        <w:t xml:space="preserve">usätzliche </w:t>
      </w:r>
      <w:r w:rsidR="001121EF" w:rsidRPr="00CC01E4">
        <w:rPr>
          <w:rFonts w:ascii="Arial" w:hAnsi="Arial" w:cs="Arial"/>
          <w:sz w:val="21"/>
          <w:szCs w:val="21"/>
        </w:rPr>
        <w:t>Möglichkeiten für</w:t>
      </w:r>
      <w:r w:rsidRPr="00CC01E4">
        <w:rPr>
          <w:rFonts w:ascii="Arial" w:hAnsi="Arial" w:cs="Arial"/>
          <w:sz w:val="21"/>
          <w:szCs w:val="21"/>
        </w:rPr>
        <w:t xml:space="preserve"> </w:t>
      </w:r>
      <w:r w:rsidR="001121EF" w:rsidRPr="00CC01E4">
        <w:rPr>
          <w:rFonts w:ascii="Arial" w:hAnsi="Arial" w:cs="Arial"/>
          <w:sz w:val="21"/>
          <w:szCs w:val="21"/>
        </w:rPr>
        <w:t xml:space="preserve">risikobereitere </w:t>
      </w:r>
      <w:r w:rsidRPr="00CC01E4">
        <w:rPr>
          <w:rFonts w:ascii="Arial" w:hAnsi="Arial" w:cs="Arial"/>
          <w:sz w:val="21"/>
          <w:szCs w:val="21"/>
        </w:rPr>
        <w:t xml:space="preserve">Innovation </w:t>
      </w:r>
      <w:r w:rsidR="001121EF" w:rsidRPr="00CC01E4">
        <w:rPr>
          <w:rFonts w:ascii="Arial" w:hAnsi="Arial" w:cs="Arial"/>
          <w:sz w:val="21"/>
          <w:szCs w:val="21"/>
        </w:rPr>
        <w:t>auf Modul- und Programmebene</w:t>
      </w:r>
      <w:r w:rsidRPr="00CC01E4">
        <w:rPr>
          <w:rFonts w:ascii="Arial" w:hAnsi="Arial" w:cs="Arial"/>
          <w:sz w:val="21"/>
          <w:szCs w:val="21"/>
        </w:rPr>
        <w:t>.</w:t>
      </w:r>
    </w:p>
    <w:sectPr w:rsidR="00B237C5" w:rsidRPr="00CC01E4" w:rsidSect="00CC01E4"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12C43" w14:textId="77777777" w:rsidR="00B76754" w:rsidRDefault="00B76754" w:rsidP="00B237C5">
      <w:pPr>
        <w:spacing w:after="0" w:line="240" w:lineRule="auto"/>
      </w:pPr>
      <w:r>
        <w:separator/>
      </w:r>
    </w:p>
  </w:endnote>
  <w:endnote w:type="continuationSeparator" w:id="0">
    <w:p w14:paraId="4065B708" w14:textId="77777777" w:rsidR="00B76754" w:rsidRDefault="00B76754" w:rsidP="00B2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E0238" w14:textId="77777777" w:rsidR="00B76754" w:rsidRDefault="00B76754" w:rsidP="00B237C5">
      <w:pPr>
        <w:spacing w:after="0" w:line="240" w:lineRule="auto"/>
      </w:pPr>
      <w:r>
        <w:separator/>
      </w:r>
    </w:p>
  </w:footnote>
  <w:footnote w:type="continuationSeparator" w:id="0">
    <w:p w14:paraId="7B0F8C22" w14:textId="77777777" w:rsidR="00B76754" w:rsidRDefault="00B76754" w:rsidP="00B2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B345" w14:textId="77777777" w:rsidR="00CC01E4" w:rsidRDefault="00CC01E4" w:rsidP="00CC01E4">
    <w:pPr>
      <w:pStyle w:val="Kopfzeile"/>
      <w:jc w:val="right"/>
      <w:rPr>
        <w:b/>
        <w:u w:val="single"/>
      </w:rPr>
    </w:pPr>
    <w:r>
      <w:rPr>
        <w:noProof/>
        <w:lang w:eastAsia="de-DE"/>
      </w:rPr>
      <w:drawing>
        <wp:inline distT="0" distB="0" distL="0" distR="0" wp14:anchorId="0C712750" wp14:editId="6BFDEAD2">
          <wp:extent cx="2577465" cy="367030"/>
          <wp:effectExtent l="0" t="0" r="0" b="0"/>
          <wp:docPr id="1" name="Grafik 1" descr="Logo of the German Institute of Development and Sustainability (IDOS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Logo des German Institute of Development and Sustainability (IDOS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E5009" w14:textId="77777777" w:rsidR="00CC01E4" w:rsidRDefault="00CC01E4" w:rsidP="00CC01E4">
    <w:pPr>
      <w:pStyle w:val="Kopfzeile"/>
      <w:spacing w:before="240" w:line="300" w:lineRule="exact"/>
      <w:jc w:val="center"/>
      <w:rPr>
        <w:b/>
        <w:u w:val="single"/>
      </w:rPr>
    </w:pPr>
    <w:r>
      <w:rPr>
        <w:b/>
        <w:u w:val="single"/>
      </w:rPr>
      <w:t xml:space="preserve">Öffentliche Ausschreibung </w:t>
    </w:r>
    <w:r>
      <w:rPr>
        <w:b/>
        <w:u w:val="single"/>
      </w:rPr>
      <w:br/>
      <w:t>„Übersetzungsleistungen (Englisch-Deutsch/Deutsch-Englisch)“</w:t>
    </w:r>
  </w:p>
  <w:p w14:paraId="39341C6B" w14:textId="77777777" w:rsidR="00CC01E4" w:rsidRDefault="00CC01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5C6C"/>
    <w:multiLevelType w:val="hybridMultilevel"/>
    <w:tmpl w:val="1F428F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95E3C"/>
    <w:multiLevelType w:val="hybridMultilevel"/>
    <w:tmpl w:val="EA8C9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0922"/>
    <w:multiLevelType w:val="hybridMultilevel"/>
    <w:tmpl w:val="3EFEE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7080D"/>
    <w:multiLevelType w:val="hybridMultilevel"/>
    <w:tmpl w:val="0D2CC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E654B"/>
    <w:multiLevelType w:val="hybridMultilevel"/>
    <w:tmpl w:val="2D6037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C5"/>
    <w:rsid w:val="0004394D"/>
    <w:rsid w:val="000B57E6"/>
    <w:rsid w:val="001121EF"/>
    <w:rsid w:val="00227606"/>
    <w:rsid w:val="00253B97"/>
    <w:rsid w:val="00272A74"/>
    <w:rsid w:val="002A69D2"/>
    <w:rsid w:val="002D55F7"/>
    <w:rsid w:val="002D6DE0"/>
    <w:rsid w:val="002E5B88"/>
    <w:rsid w:val="002F2F45"/>
    <w:rsid w:val="003155EF"/>
    <w:rsid w:val="00385973"/>
    <w:rsid w:val="003E6958"/>
    <w:rsid w:val="004033CC"/>
    <w:rsid w:val="0040715A"/>
    <w:rsid w:val="00465008"/>
    <w:rsid w:val="004737DD"/>
    <w:rsid w:val="00491AFD"/>
    <w:rsid w:val="00493D61"/>
    <w:rsid w:val="004C3A94"/>
    <w:rsid w:val="00593FE6"/>
    <w:rsid w:val="005A3AA8"/>
    <w:rsid w:val="005B1AB0"/>
    <w:rsid w:val="0060783A"/>
    <w:rsid w:val="006161DA"/>
    <w:rsid w:val="00662544"/>
    <w:rsid w:val="00674273"/>
    <w:rsid w:val="006E007A"/>
    <w:rsid w:val="006F4187"/>
    <w:rsid w:val="00715A0D"/>
    <w:rsid w:val="00770041"/>
    <w:rsid w:val="00897174"/>
    <w:rsid w:val="008D1D66"/>
    <w:rsid w:val="008F1C31"/>
    <w:rsid w:val="009068A0"/>
    <w:rsid w:val="00956965"/>
    <w:rsid w:val="009D0C8F"/>
    <w:rsid w:val="009D3AFA"/>
    <w:rsid w:val="009E160E"/>
    <w:rsid w:val="00A610E5"/>
    <w:rsid w:val="00A748AA"/>
    <w:rsid w:val="00B15C53"/>
    <w:rsid w:val="00B237C5"/>
    <w:rsid w:val="00B76754"/>
    <w:rsid w:val="00B9458B"/>
    <w:rsid w:val="00BB2EAD"/>
    <w:rsid w:val="00BC397B"/>
    <w:rsid w:val="00BE4421"/>
    <w:rsid w:val="00C347A4"/>
    <w:rsid w:val="00C3545A"/>
    <w:rsid w:val="00C528F4"/>
    <w:rsid w:val="00CA4113"/>
    <w:rsid w:val="00CC01E4"/>
    <w:rsid w:val="00DB051C"/>
    <w:rsid w:val="00DC5599"/>
    <w:rsid w:val="00E14F17"/>
    <w:rsid w:val="00E57B58"/>
    <w:rsid w:val="00EC577D"/>
    <w:rsid w:val="00E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1779"/>
  <w15:chartTrackingRefBased/>
  <w15:docId w15:val="{DEBA797F-E54A-4DA6-90AB-0209B7D2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B237C5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2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237C5"/>
  </w:style>
  <w:style w:type="paragraph" w:styleId="Fuzeile">
    <w:name w:val="footer"/>
    <w:basedOn w:val="Standard"/>
    <w:link w:val="FuzeileZchn"/>
    <w:uiPriority w:val="99"/>
    <w:unhideWhenUsed/>
    <w:rsid w:val="00B2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37C5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5B88"/>
    <w:pPr>
      <w:spacing w:before="120" w:after="120" w:line="240" w:lineRule="auto"/>
      <w:jc w:val="both"/>
    </w:pPr>
    <w:rPr>
      <w:rFonts w:ascii="Calibri" w:hAnsi="Calibri"/>
      <w:sz w:val="20"/>
      <w:szCs w:val="20"/>
      <w:lang w:val="en-GB"/>
      <w14:numForm w14:val="oldStyl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5B88"/>
    <w:rPr>
      <w:rFonts w:ascii="Calibri" w:hAnsi="Calibri"/>
      <w:sz w:val="20"/>
      <w:szCs w:val="20"/>
      <w:lang w:val="en-GB"/>
      <w14:numForm w14:val="oldSty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5B88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B88"/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161D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007A"/>
    <w:pPr>
      <w:spacing w:before="0" w:after="160"/>
      <w:jc w:val="left"/>
    </w:pPr>
    <w:rPr>
      <w:rFonts w:asciiTheme="minorHAnsi" w:hAnsiTheme="minorHAnsi"/>
      <w:b/>
      <w:bCs/>
      <w:lang w:val="de-DE"/>
      <w14:numForm w14:val="defaul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007A"/>
    <w:rPr>
      <w:rFonts w:ascii="Calibri" w:hAnsi="Calibri"/>
      <w:b/>
      <w:bCs/>
      <w:sz w:val="20"/>
      <w:szCs w:val="20"/>
      <w:lang w:val="en-GB"/>
      <w14:numForm w14:val="oldStyle"/>
    </w:rPr>
  </w:style>
  <w:style w:type="paragraph" w:styleId="berarbeitung">
    <w:name w:val="Revision"/>
    <w:hidden/>
    <w:uiPriority w:val="99"/>
    <w:semiHidden/>
    <w:rsid w:val="003E6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8750">
          <w:marLeft w:val="734"/>
          <w:marRight w:val="0"/>
          <w:marTop w:val="0"/>
          <w:marBottom w:val="5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628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4353">
          <w:marLeft w:val="806"/>
          <w:marRight w:val="14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9608">
          <w:marLeft w:val="734"/>
          <w:marRight w:val="0"/>
          <w:marTop w:val="0"/>
          <w:marBottom w:val="5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133">
          <w:marLeft w:val="835"/>
          <w:marRight w:val="14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C6918B43BD647AC519C6B0DA6C233" ma:contentTypeVersion="14" ma:contentTypeDescription="Create a new document." ma:contentTypeScope="" ma:versionID="e00c43775adca4280d9de93a375fb2a9">
  <xsd:schema xmlns:xsd="http://www.w3.org/2001/XMLSchema" xmlns:xs="http://www.w3.org/2001/XMLSchema" xmlns:p="http://schemas.microsoft.com/office/2006/metadata/properties" xmlns:ns3="4cad42aa-992b-4afa-997c-54de5ba4a73b" xmlns:ns4="9f6a24d1-3ff2-402b-b3e6-d032d73fb67d" targetNamespace="http://schemas.microsoft.com/office/2006/metadata/properties" ma:root="true" ma:fieldsID="9434fde921aac7242d477d80c898b0a9" ns3:_="" ns4:_="">
    <xsd:import namespace="4cad42aa-992b-4afa-997c-54de5ba4a73b"/>
    <xsd:import namespace="9f6a24d1-3ff2-402b-b3e6-d032d73fb6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d42aa-992b-4afa-997c-54de5ba4a7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a24d1-3ff2-402b-b3e6-d032d73fb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4AE4D-6337-4695-8E9C-02FBCA6AC55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4cad42aa-992b-4afa-997c-54de5ba4a73b"/>
    <ds:schemaRef ds:uri="9f6a24d1-3ff2-402b-b3e6-d032d73fb67d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4476DB-06F1-462E-AFD4-D74F7FB9A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d42aa-992b-4afa-997c-54de5ba4a73b"/>
    <ds:schemaRef ds:uri="9f6a24d1-3ff2-402b-b3e6-d032d73fb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B78C4-668C-4CF9-9835-C72B16B2A9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IDOS gGmbH</dc:creator>
  <cp:keywords/>
  <dc:description/>
  <cp:lastModifiedBy>Hornschild, Cornelia</cp:lastModifiedBy>
  <cp:revision>6</cp:revision>
  <dcterms:created xsi:type="dcterms:W3CDTF">2023-03-02T08:14:00Z</dcterms:created>
  <dcterms:modified xsi:type="dcterms:W3CDTF">2023-03-20T09:26:00Z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0x01010050DC6918B43BD647AC519C6B0DA6C233</vt:lpwstr>
  </property>
</Properties>
</file>